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D45" w:rsidRDefault="00334D45" w:rsidP="00334D45">
      <w:pPr>
        <w:jc w:val="center"/>
        <w:rPr>
          <w:rFonts w:ascii="Times New Roman" w:hAnsi="Times New Roman"/>
          <w:b/>
          <w:sz w:val="30"/>
          <w:szCs w:val="30"/>
        </w:rPr>
      </w:pPr>
      <w:r>
        <w:rPr>
          <w:rFonts w:ascii="Times New Roman" w:hAnsi="Times New Roman"/>
          <w:b/>
          <w:sz w:val="30"/>
          <w:szCs w:val="30"/>
        </w:rPr>
        <w:t>一、对通用条款的补充内容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07"/>
        <w:gridCol w:w="2083"/>
        <w:gridCol w:w="5400"/>
      </w:tblGrid>
      <w:tr w:rsidR="00334D45" w:rsidTr="00D43441">
        <w:trPr>
          <w:cantSplit/>
          <w:trHeight w:val="20"/>
          <w:jc w:val="center"/>
        </w:trPr>
        <w:tc>
          <w:tcPr>
            <w:tcW w:w="807" w:type="dxa"/>
            <w:vAlign w:val="center"/>
          </w:tcPr>
          <w:p w:rsidR="00334D45" w:rsidRDefault="00334D45" w:rsidP="00D43441">
            <w:pPr>
              <w:jc w:val="center"/>
              <w:rPr>
                <w:rFonts w:ascii="Times New Roman" w:hAnsi="Times New Roman"/>
                <w:bCs/>
              </w:rPr>
            </w:pPr>
            <w:r>
              <w:rPr>
                <w:rFonts w:ascii="Times New Roman" w:hAnsi="Times New Roman"/>
                <w:bCs/>
              </w:rPr>
              <w:t>序号</w:t>
            </w:r>
          </w:p>
        </w:tc>
        <w:tc>
          <w:tcPr>
            <w:tcW w:w="2083" w:type="dxa"/>
            <w:vAlign w:val="center"/>
          </w:tcPr>
          <w:p w:rsidR="00334D45" w:rsidRDefault="00334D45" w:rsidP="00D43441">
            <w:pPr>
              <w:jc w:val="center"/>
              <w:rPr>
                <w:rFonts w:ascii="Times New Roman" w:hAnsi="Times New Roman"/>
                <w:bCs/>
              </w:rPr>
            </w:pPr>
            <w:r>
              <w:rPr>
                <w:rFonts w:ascii="Times New Roman" w:hAnsi="Times New Roman"/>
                <w:bCs/>
              </w:rPr>
              <w:t>内</w:t>
            </w:r>
            <w:r>
              <w:rPr>
                <w:rFonts w:ascii="Times New Roman" w:hAnsi="Times New Roman"/>
                <w:bCs/>
              </w:rPr>
              <w:t xml:space="preserve">   </w:t>
            </w:r>
            <w:r>
              <w:rPr>
                <w:rFonts w:ascii="Times New Roman" w:hAnsi="Times New Roman"/>
                <w:bCs/>
              </w:rPr>
              <w:t>容</w:t>
            </w:r>
          </w:p>
        </w:tc>
        <w:tc>
          <w:tcPr>
            <w:tcW w:w="5400" w:type="dxa"/>
            <w:vAlign w:val="center"/>
          </w:tcPr>
          <w:p w:rsidR="00334D45" w:rsidRDefault="00334D45" w:rsidP="00D43441">
            <w:pPr>
              <w:jc w:val="center"/>
              <w:rPr>
                <w:rFonts w:ascii="Times New Roman" w:hAnsi="Times New Roman"/>
                <w:bCs/>
              </w:rPr>
            </w:pPr>
            <w:proofErr w:type="gramStart"/>
            <w:r>
              <w:rPr>
                <w:rFonts w:ascii="Times New Roman" w:hAnsi="Times New Roman"/>
                <w:bCs/>
              </w:rPr>
              <w:t>规</w:t>
            </w:r>
            <w:proofErr w:type="gramEnd"/>
            <w:r>
              <w:rPr>
                <w:rFonts w:ascii="Times New Roman" w:hAnsi="Times New Roman"/>
                <w:bCs/>
              </w:rPr>
              <w:t xml:space="preserve">      </w:t>
            </w:r>
            <w:r>
              <w:rPr>
                <w:rFonts w:ascii="Times New Roman" w:hAnsi="Times New Roman"/>
                <w:bCs/>
              </w:rPr>
              <w:t>定</w:t>
            </w:r>
          </w:p>
        </w:tc>
      </w:tr>
      <w:tr w:rsidR="00334D45" w:rsidTr="00D43441">
        <w:trPr>
          <w:cantSplit/>
          <w:trHeight w:val="20"/>
          <w:jc w:val="center"/>
        </w:trPr>
        <w:tc>
          <w:tcPr>
            <w:tcW w:w="807" w:type="dxa"/>
            <w:vAlign w:val="center"/>
          </w:tcPr>
          <w:p w:rsidR="00334D45" w:rsidRDefault="00334D45" w:rsidP="00334D45">
            <w:pPr>
              <w:numPr>
                <w:ilvl w:val="0"/>
                <w:numId w:val="1"/>
              </w:numPr>
              <w:jc w:val="center"/>
              <w:rPr>
                <w:rFonts w:ascii="Times New Roman" w:hAnsi="Times New Roman"/>
              </w:rPr>
            </w:pPr>
          </w:p>
        </w:tc>
        <w:tc>
          <w:tcPr>
            <w:tcW w:w="2083" w:type="dxa"/>
            <w:vAlign w:val="center"/>
          </w:tcPr>
          <w:p w:rsidR="00334D45" w:rsidRDefault="00334D45" w:rsidP="00D43441">
            <w:pPr>
              <w:rPr>
                <w:rFonts w:ascii="Times New Roman" w:hAnsi="Times New Roman"/>
              </w:rPr>
            </w:pPr>
            <w:r>
              <w:rPr>
                <w:rFonts w:ascii="Times New Roman" w:hAnsi="Times New Roman"/>
              </w:rPr>
              <w:t>联合体投标</w:t>
            </w:r>
          </w:p>
        </w:tc>
        <w:tc>
          <w:tcPr>
            <w:tcW w:w="5400" w:type="dxa"/>
            <w:vAlign w:val="center"/>
          </w:tcPr>
          <w:p w:rsidR="00334D45" w:rsidRDefault="00334D45" w:rsidP="00D43441">
            <w:pPr>
              <w:rPr>
                <w:rFonts w:ascii="Times New Roman" w:hAnsi="Times New Roman"/>
                <w:snapToGrid w:val="0"/>
                <w:kern w:val="0"/>
                <w:szCs w:val="32"/>
                <w:lang w:val="zh-CN"/>
              </w:rPr>
            </w:pPr>
            <w:r>
              <w:rPr>
                <w:rFonts w:ascii="Times New Roman" w:hAnsi="Times New Roman"/>
                <w:snapToGrid w:val="0"/>
                <w:kern w:val="0"/>
                <w:szCs w:val="32"/>
                <w:lang w:val="zh-CN"/>
              </w:rPr>
              <w:t>见《招标公告》中</w:t>
            </w:r>
            <w:r>
              <w:rPr>
                <w:rFonts w:ascii="Times New Roman" w:hAnsi="Times New Roman"/>
                <w:snapToGrid w:val="0"/>
                <w:kern w:val="0"/>
                <w:szCs w:val="32"/>
                <w:lang w:val="zh-CN"/>
              </w:rPr>
              <w:t>“</w:t>
            </w:r>
            <w:r>
              <w:rPr>
                <w:rFonts w:ascii="Times New Roman" w:hAnsi="Times New Roman"/>
                <w:snapToGrid w:val="0"/>
                <w:kern w:val="0"/>
                <w:szCs w:val="32"/>
                <w:lang w:val="zh-CN"/>
              </w:rPr>
              <w:t>对投标人资质要求</w:t>
            </w:r>
            <w:r>
              <w:rPr>
                <w:rFonts w:ascii="Times New Roman" w:hAnsi="Times New Roman"/>
                <w:snapToGrid w:val="0"/>
                <w:kern w:val="0"/>
                <w:szCs w:val="32"/>
                <w:lang w:val="zh-CN"/>
              </w:rPr>
              <w:t>”</w:t>
            </w:r>
            <w:r>
              <w:rPr>
                <w:rFonts w:ascii="Times New Roman" w:hAnsi="Times New Roman"/>
                <w:snapToGrid w:val="0"/>
                <w:kern w:val="0"/>
                <w:szCs w:val="32"/>
                <w:lang w:val="zh-CN"/>
              </w:rPr>
              <w:t>部分的相关内容</w:t>
            </w:r>
          </w:p>
        </w:tc>
      </w:tr>
      <w:tr w:rsidR="00334D45" w:rsidTr="00D43441">
        <w:trPr>
          <w:cantSplit/>
          <w:trHeight w:val="20"/>
          <w:jc w:val="center"/>
        </w:trPr>
        <w:tc>
          <w:tcPr>
            <w:tcW w:w="807" w:type="dxa"/>
            <w:vAlign w:val="center"/>
          </w:tcPr>
          <w:p w:rsidR="00334D45" w:rsidRDefault="00334D45" w:rsidP="00334D45">
            <w:pPr>
              <w:numPr>
                <w:ilvl w:val="0"/>
                <w:numId w:val="1"/>
              </w:numPr>
              <w:jc w:val="center"/>
              <w:rPr>
                <w:rFonts w:ascii="Times New Roman" w:hAnsi="Times New Roman"/>
              </w:rPr>
            </w:pPr>
          </w:p>
        </w:tc>
        <w:tc>
          <w:tcPr>
            <w:tcW w:w="2083" w:type="dxa"/>
            <w:vAlign w:val="center"/>
          </w:tcPr>
          <w:p w:rsidR="00334D45" w:rsidRDefault="00334D45" w:rsidP="00D43441">
            <w:pPr>
              <w:rPr>
                <w:rFonts w:ascii="Times New Roman" w:hAnsi="Times New Roman"/>
              </w:rPr>
            </w:pPr>
            <w:r>
              <w:rPr>
                <w:rFonts w:ascii="Times New Roman" w:hAnsi="Times New Roman"/>
              </w:rPr>
              <w:t>投标保证金</w:t>
            </w:r>
          </w:p>
        </w:tc>
        <w:tc>
          <w:tcPr>
            <w:tcW w:w="5400" w:type="dxa"/>
            <w:vAlign w:val="center"/>
          </w:tcPr>
          <w:p w:rsidR="00334D45" w:rsidRPr="008465A9" w:rsidRDefault="00334D45" w:rsidP="00D43441">
            <w:pPr>
              <w:rPr>
                <w:rFonts w:ascii="Times New Roman" w:hAnsi="Times New Roman"/>
              </w:rPr>
            </w:pPr>
            <w:r w:rsidRPr="008465A9">
              <w:rPr>
                <w:rFonts w:ascii="Times New Roman" w:hAnsi="Times New Roman"/>
              </w:rPr>
              <w:t>人民币</w:t>
            </w:r>
            <w:r>
              <w:rPr>
                <w:rFonts w:ascii="Times New Roman" w:hAnsi="Times New Roman"/>
                <w:b/>
              </w:rPr>
              <w:fldChar w:fldCharType="begin"/>
            </w:r>
            <w:r>
              <w:rPr>
                <w:rFonts w:ascii="Times New Roman" w:hAnsi="Times New Roman"/>
                <w:b/>
              </w:rPr>
              <w:instrText xml:space="preserve"> </w:instrText>
            </w:r>
            <w:r>
              <w:rPr>
                <w:rFonts w:ascii="Times New Roman" w:hAnsi="Times New Roman" w:hint="eastAsia"/>
                <w:b/>
              </w:rPr>
              <w:instrText>= 10000 \* CHINESENUM2</w:instrText>
            </w:r>
            <w:r>
              <w:rPr>
                <w:rFonts w:ascii="Times New Roman" w:hAnsi="Times New Roman"/>
                <w:b/>
              </w:rPr>
              <w:instrText xml:space="preserve"> </w:instrText>
            </w:r>
            <w:r>
              <w:rPr>
                <w:rFonts w:ascii="Times New Roman" w:hAnsi="Times New Roman"/>
                <w:b/>
              </w:rPr>
              <w:fldChar w:fldCharType="separate"/>
            </w:r>
            <w:r>
              <w:rPr>
                <w:rFonts w:ascii="Times New Roman" w:hAnsi="Times New Roman" w:hint="eastAsia"/>
                <w:b/>
                <w:noProof/>
              </w:rPr>
              <w:t>壹万</w:t>
            </w:r>
            <w:r>
              <w:rPr>
                <w:rFonts w:ascii="Times New Roman" w:hAnsi="Times New Roman"/>
                <w:b/>
              </w:rPr>
              <w:fldChar w:fldCharType="end"/>
            </w:r>
            <w:r w:rsidRPr="008465A9">
              <w:rPr>
                <w:rFonts w:ascii="Times New Roman" w:hAnsi="Times New Roman"/>
              </w:rPr>
              <w:t>元</w:t>
            </w:r>
            <w:r w:rsidRPr="008465A9">
              <w:rPr>
                <w:rFonts w:ascii="Times New Roman" w:hAnsi="Times New Roman" w:hint="eastAsia"/>
              </w:rPr>
              <w:t>整</w:t>
            </w:r>
            <w:r w:rsidRPr="008465A9">
              <w:rPr>
                <w:rFonts w:ascii="Times New Roman" w:hAnsi="Times New Roman"/>
              </w:rPr>
              <w:t>。</w:t>
            </w:r>
            <w:r w:rsidRPr="008465A9">
              <w:rPr>
                <w:rFonts w:ascii="Times New Roman" w:hAnsi="Times New Roman" w:hint="eastAsia"/>
              </w:rPr>
              <w:t>款项在投标截止日</w:t>
            </w:r>
            <w:r w:rsidRPr="00606401">
              <w:rPr>
                <w:rFonts w:ascii="Times New Roman" w:hAnsi="Times New Roman" w:hint="eastAsia"/>
                <w:b/>
              </w:rPr>
              <w:t>二日前</w:t>
            </w:r>
            <w:r w:rsidRPr="008465A9">
              <w:rPr>
                <w:rFonts w:ascii="Times New Roman" w:hAnsi="Times New Roman" w:hint="eastAsia"/>
              </w:rPr>
              <w:t>到达采购代理机构指定账户（银行账户信息详见招标公告）</w:t>
            </w:r>
          </w:p>
        </w:tc>
      </w:tr>
      <w:tr w:rsidR="00334D45" w:rsidTr="00D43441">
        <w:trPr>
          <w:cantSplit/>
          <w:trHeight w:val="20"/>
          <w:jc w:val="center"/>
        </w:trPr>
        <w:tc>
          <w:tcPr>
            <w:tcW w:w="807" w:type="dxa"/>
            <w:vAlign w:val="center"/>
          </w:tcPr>
          <w:p w:rsidR="00334D45" w:rsidRDefault="00334D45" w:rsidP="00334D45">
            <w:pPr>
              <w:numPr>
                <w:ilvl w:val="0"/>
                <w:numId w:val="1"/>
              </w:numPr>
              <w:jc w:val="center"/>
              <w:rPr>
                <w:rFonts w:ascii="Times New Roman" w:hAnsi="Times New Roman"/>
              </w:rPr>
            </w:pPr>
          </w:p>
        </w:tc>
        <w:tc>
          <w:tcPr>
            <w:tcW w:w="2083" w:type="dxa"/>
            <w:vAlign w:val="center"/>
          </w:tcPr>
          <w:p w:rsidR="00334D45" w:rsidRDefault="00334D45" w:rsidP="00D43441">
            <w:pPr>
              <w:rPr>
                <w:rFonts w:ascii="Times New Roman" w:hAnsi="Times New Roman"/>
              </w:rPr>
            </w:pPr>
            <w:r>
              <w:rPr>
                <w:rFonts w:ascii="Times New Roman" w:hAnsi="Times New Roman"/>
              </w:rPr>
              <w:t>投标有效期</w:t>
            </w:r>
          </w:p>
        </w:tc>
        <w:tc>
          <w:tcPr>
            <w:tcW w:w="5400" w:type="dxa"/>
            <w:vAlign w:val="center"/>
          </w:tcPr>
          <w:p w:rsidR="00334D45" w:rsidRDefault="00334D45" w:rsidP="00D43441">
            <w:pPr>
              <w:rPr>
                <w:rFonts w:ascii="Times New Roman" w:hAnsi="Times New Roman"/>
              </w:rPr>
            </w:pPr>
            <w:r>
              <w:rPr>
                <w:rFonts w:ascii="Times New Roman" w:hAnsi="Times New Roman"/>
              </w:rPr>
              <w:t>90</w:t>
            </w:r>
            <w:r>
              <w:rPr>
                <w:rFonts w:ascii="Times New Roman" w:hAnsi="Times New Roman"/>
              </w:rPr>
              <w:t>日历天（从投标截止之日算起）</w:t>
            </w:r>
          </w:p>
        </w:tc>
      </w:tr>
      <w:tr w:rsidR="00334D45" w:rsidTr="00D43441">
        <w:trPr>
          <w:cantSplit/>
          <w:trHeight w:val="20"/>
          <w:jc w:val="center"/>
        </w:trPr>
        <w:tc>
          <w:tcPr>
            <w:tcW w:w="807" w:type="dxa"/>
            <w:vAlign w:val="center"/>
          </w:tcPr>
          <w:p w:rsidR="00334D45" w:rsidRDefault="00334D45" w:rsidP="00334D45">
            <w:pPr>
              <w:numPr>
                <w:ilvl w:val="0"/>
                <w:numId w:val="1"/>
              </w:numPr>
              <w:jc w:val="center"/>
              <w:rPr>
                <w:rFonts w:ascii="Times New Roman" w:hAnsi="Times New Roman"/>
              </w:rPr>
            </w:pPr>
          </w:p>
        </w:tc>
        <w:tc>
          <w:tcPr>
            <w:tcW w:w="2083" w:type="dxa"/>
            <w:vAlign w:val="center"/>
          </w:tcPr>
          <w:p w:rsidR="00334D45" w:rsidRDefault="00334D45" w:rsidP="00D43441">
            <w:pPr>
              <w:rPr>
                <w:rFonts w:ascii="Times New Roman" w:hAnsi="Times New Roman"/>
              </w:rPr>
            </w:pPr>
            <w:r>
              <w:rPr>
                <w:rFonts w:ascii="Times New Roman" w:hAnsi="Times New Roman"/>
              </w:rPr>
              <w:t>投标人的替代方案</w:t>
            </w:r>
          </w:p>
        </w:tc>
        <w:tc>
          <w:tcPr>
            <w:tcW w:w="5400" w:type="dxa"/>
            <w:vAlign w:val="center"/>
          </w:tcPr>
          <w:p w:rsidR="00334D45" w:rsidRDefault="00334D45" w:rsidP="00D43441">
            <w:pPr>
              <w:rPr>
                <w:rFonts w:ascii="Times New Roman" w:hAnsi="Times New Roman"/>
              </w:rPr>
            </w:pPr>
            <w:r>
              <w:rPr>
                <w:rFonts w:ascii="Times New Roman" w:hAnsi="Times New Roman"/>
              </w:rPr>
              <w:t>不允许</w:t>
            </w:r>
          </w:p>
        </w:tc>
      </w:tr>
      <w:tr w:rsidR="00334D45" w:rsidTr="00D43441">
        <w:trPr>
          <w:cantSplit/>
          <w:trHeight w:val="20"/>
          <w:jc w:val="center"/>
        </w:trPr>
        <w:tc>
          <w:tcPr>
            <w:tcW w:w="807" w:type="dxa"/>
            <w:vAlign w:val="center"/>
          </w:tcPr>
          <w:p w:rsidR="00334D45" w:rsidRDefault="00334D45" w:rsidP="00334D45">
            <w:pPr>
              <w:numPr>
                <w:ilvl w:val="0"/>
                <w:numId w:val="1"/>
              </w:numPr>
              <w:spacing w:line="240" w:lineRule="exact"/>
              <w:jc w:val="center"/>
              <w:rPr>
                <w:rFonts w:ascii="Times New Roman" w:hAnsi="Times New Roman"/>
              </w:rPr>
            </w:pPr>
          </w:p>
        </w:tc>
        <w:tc>
          <w:tcPr>
            <w:tcW w:w="2083" w:type="dxa"/>
            <w:vAlign w:val="center"/>
          </w:tcPr>
          <w:p w:rsidR="00334D45" w:rsidRDefault="00334D45" w:rsidP="00D43441">
            <w:pPr>
              <w:spacing w:line="240" w:lineRule="exact"/>
              <w:rPr>
                <w:rFonts w:ascii="Times New Roman" w:hAnsi="Times New Roman"/>
              </w:rPr>
            </w:pPr>
            <w:r>
              <w:rPr>
                <w:rFonts w:ascii="Times New Roman" w:hAnsi="Times New Roman"/>
              </w:rPr>
              <w:t>投标文件的递交</w:t>
            </w:r>
          </w:p>
        </w:tc>
        <w:tc>
          <w:tcPr>
            <w:tcW w:w="5400" w:type="dxa"/>
            <w:vAlign w:val="center"/>
          </w:tcPr>
          <w:p w:rsidR="00334D45" w:rsidRDefault="00334D45" w:rsidP="00D43441">
            <w:pPr>
              <w:spacing w:line="240" w:lineRule="exact"/>
              <w:rPr>
                <w:rFonts w:ascii="Times New Roman" w:hAnsi="Times New Roman"/>
              </w:rPr>
            </w:pPr>
            <w:r>
              <w:rPr>
                <w:rFonts w:ascii="Times New Roman" w:hAnsi="Times New Roman"/>
              </w:rPr>
              <w:t>在采购文件规定的投标截止时间前直接送达至指定地点。</w:t>
            </w:r>
          </w:p>
        </w:tc>
      </w:tr>
      <w:tr w:rsidR="00334D45" w:rsidTr="00D43441">
        <w:trPr>
          <w:cantSplit/>
          <w:trHeight w:val="20"/>
          <w:jc w:val="center"/>
        </w:trPr>
        <w:tc>
          <w:tcPr>
            <w:tcW w:w="807" w:type="dxa"/>
            <w:vAlign w:val="center"/>
          </w:tcPr>
          <w:p w:rsidR="00334D45" w:rsidRDefault="00334D45" w:rsidP="00334D45">
            <w:pPr>
              <w:numPr>
                <w:ilvl w:val="0"/>
                <w:numId w:val="1"/>
              </w:numPr>
              <w:jc w:val="center"/>
              <w:rPr>
                <w:rFonts w:ascii="Times New Roman" w:hAnsi="Times New Roman"/>
              </w:rPr>
            </w:pPr>
          </w:p>
        </w:tc>
        <w:tc>
          <w:tcPr>
            <w:tcW w:w="2083" w:type="dxa"/>
            <w:vAlign w:val="center"/>
          </w:tcPr>
          <w:p w:rsidR="00334D45" w:rsidRDefault="00334D45" w:rsidP="00D43441">
            <w:pPr>
              <w:rPr>
                <w:rFonts w:ascii="Times New Roman" w:hAnsi="Times New Roman"/>
              </w:rPr>
            </w:pPr>
            <w:r>
              <w:rPr>
                <w:rFonts w:ascii="Times New Roman" w:hAnsi="Times New Roman"/>
              </w:rPr>
              <w:t>履约担保金额</w:t>
            </w:r>
          </w:p>
        </w:tc>
        <w:tc>
          <w:tcPr>
            <w:tcW w:w="5400" w:type="dxa"/>
            <w:vAlign w:val="center"/>
          </w:tcPr>
          <w:p w:rsidR="00334D45" w:rsidRPr="00DB5427" w:rsidRDefault="00334D45" w:rsidP="00D43441">
            <w:pPr>
              <w:rPr>
                <w:rFonts w:ascii="Times New Roman" w:hAnsi="Times New Roman"/>
                <w:color w:val="000000"/>
              </w:rPr>
            </w:pPr>
            <w:r w:rsidRPr="00DB5427">
              <w:rPr>
                <w:rFonts w:ascii="Times New Roman" w:hAnsi="Times New Roman" w:hint="eastAsia"/>
                <w:color w:val="000000"/>
              </w:rPr>
              <w:t>无</w:t>
            </w:r>
          </w:p>
        </w:tc>
      </w:tr>
    </w:tbl>
    <w:p w:rsidR="00334D45" w:rsidRDefault="00334D45" w:rsidP="00334D45">
      <w:pPr>
        <w:rPr>
          <w:rFonts w:ascii="Times New Roman" w:hAnsi="Times New Roman"/>
        </w:rPr>
      </w:pPr>
      <w:r>
        <w:rPr>
          <w:rFonts w:ascii="Times New Roman" w:hAnsi="Times New Roman"/>
          <w:szCs w:val="21"/>
        </w:rPr>
        <w:t>备注：本表为通用条款相关内容的补充和明确，如与通用条款相冲突的以本表为准。</w:t>
      </w:r>
    </w:p>
    <w:p w:rsidR="00334D45" w:rsidRDefault="00334D45" w:rsidP="00334D45">
      <w:pPr>
        <w:pStyle w:val="2"/>
        <w:spacing w:beforeLines="50" w:afterLines="50"/>
        <w:rPr>
          <w:rFonts w:ascii="Times New Roman" w:hAnsi="Times New Roman"/>
          <w:sz w:val="30"/>
          <w:szCs w:val="30"/>
        </w:rPr>
      </w:pPr>
      <w:proofErr w:type="spellStart"/>
      <w:r>
        <w:rPr>
          <w:rFonts w:ascii="Times New Roman" w:hAnsi="Times New Roman"/>
          <w:sz w:val="30"/>
          <w:szCs w:val="30"/>
        </w:rPr>
        <w:t>二、货物清单</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93"/>
        <w:gridCol w:w="992"/>
        <w:gridCol w:w="993"/>
        <w:gridCol w:w="2693"/>
      </w:tblGrid>
      <w:tr w:rsidR="00334D45" w:rsidTr="00D43441">
        <w:trPr>
          <w:trHeight w:val="721"/>
        </w:trPr>
        <w:tc>
          <w:tcPr>
            <w:tcW w:w="851" w:type="dxa"/>
            <w:vAlign w:val="center"/>
          </w:tcPr>
          <w:p w:rsidR="00334D45" w:rsidRDefault="00334D45" w:rsidP="00D43441">
            <w:pPr>
              <w:jc w:val="center"/>
            </w:pPr>
            <w:r>
              <w:rPr>
                <w:rFonts w:hint="eastAsia"/>
              </w:rPr>
              <w:t>序号</w:t>
            </w:r>
          </w:p>
        </w:tc>
        <w:tc>
          <w:tcPr>
            <w:tcW w:w="2693" w:type="dxa"/>
            <w:vAlign w:val="center"/>
          </w:tcPr>
          <w:p w:rsidR="00334D45" w:rsidRDefault="00334D45" w:rsidP="00D43441">
            <w:pPr>
              <w:jc w:val="center"/>
            </w:pPr>
            <w:r>
              <w:rPr>
                <w:rFonts w:hint="eastAsia"/>
              </w:rPr>
              <w:t>货物名称</w:t>
            </w:r>
          </w:p>
        </w:tc>
        <w:tc>
          <w:tcPr>
            <w:tcW w:w="992" w:type="dxa"/>
            <w:vAlign w:val="center"/>
          </w:tcPr>
          <w:p w:rsidR="00334D45" w:rsidRDefault="00334D45" w:rsidP="00D43441">
            <w:pPr>
              <w:jc w:val="center"/>
            </w:pPr>
            <w:r>
              <w:rPr>
                <w:rFonts w:hint="eastAsia"/>
              </w:rPr>
              <w:t>数量</w:t>
            </w:r>
          </w:p>
        </w:tc>
        <w:tc>
          <w:tcPr>
            <w:tcW w:w="993" w:type="dxa"/>
            <w:vAlign w:val="center"/>
          </w:tcPr>
          <w:p w:rsidR="00334D45" w:rsidRDefault="00334D45" w:rsidP="00D43441">
            <w:pPr>
              <w:jc w:val="center"/>
            </w:pPr>
            <w:r>
              <w:rPr>
                <w:rFonts w:hint="eastAsia"/>
              </w:rPr>
              <w:t>单位</w:t>
            </w:r>
          </w:p>
        </w:tc>
        <w:tc>
          <w:tcPr>
            <w:tcW w:w="2693" w:type="dxa"/>
            <w:vAlign w:val="center"/>
          </w:tcPr>
          <w:p w:rsidR="00334D45" w:rsidRPr="00BB195D" w:rsidRDefault="00334D45" w:rsidP="00D43441">
            <w:pPr>
              <w:jc w:val="center"/>
            </w:pPr>
            <w:r w:rsidRPr="00BB195D">
              <w:rPr>
                <w:rFonts w:hint="eastAsia"/>
              </w:rPr>
              <w:t>财政预算限额</w:t>
            </w:r>
            <w:r w:rsidRPr="00BB195D">
              <w:rPr>
                <w:rFonts w:hint="eastAsia"/>
              </w:rPr>
              <w:t>(</w:t>
            </w:r>
            <w:r w:rsidRPr="00BB195D">
              <w:rPr>
                <w:rFonts w:hint="eastAsia"/>
              </w:rPr>
              <w:t>元</w:t>
            </w:r>
            <w:r w:rsidRPr="00BB195D">
              <w:rPr>
                <w:rFonts w:hint="eastAsia"/>
              </w:rPr>
              <w:t>)</w:t>
            </w:r>
          </w:p>
        </w:tc>
      </w:tr>
      <w:tr w:rsidR="00334D45" w:rsidRPr="00DB5427" w:rsidTr="00D43441">
        <w:trPr>
          <w:trHeight w:val="353"/>
        </w:trPr>
        <w:tc>
          <w:tcPr>
            <w:tcW w:w="851" w:type="dxa"/>
            <w:vAlign w:val="center"/>
          </w:tcPr>
          <w:p w:rsidR="00334D45" w:rsidRPr="00DB5427" w:rsidRDefault="00334D45" w:rsidP="00D43441">
            <w:pPr>
              <w:jc w:val="center"/>
              <w:rPr>
                <w:color w:val="000000"/>
              </w:rPr>
            </w:pPr>
            <w:r w:rsidRPr="00DB5427">
              <w:rPr>
                <w:rFonts w:hint="eastAsia"/>
                <w:color w:val="000000"/>
              </w:rPr>
              <w:t>1</w:t>
            </w:r>
          </w:p>
        </w:tc>
        <w:tc>
          <w:tcPr>
            <w:tcW w:w="2693" w:type="dxa"/>
            <w:vAlign w:val="center"/>
          </w:tcPr>
          <w:p w:rsidR="00334D45" w:rsidRPr="00DB5427" w:rsidRDefault="00334D45" w:rsidP="00D43441">
            <w:pPr>
              <w:jc w:val="center"/>
              <w:rPr>
                <w:rFonts w:ascii="宋体" w:hAnsi="宋体" w:cs="宋体"/>
                <w:color w:val="000000"/>
                <w:kern w:val="0"/>
                <w:szCs w:val="21"/>
              </w:rPr>
            </w:pPr>
            <w:r w:rsidRPr="00DB5427">
              <w:rPr>
                <w:rFonts w:ascii="宋体" w:hAnsi="宋体" w:cs="宋体" w:hint="eastAsia"/>
                <w:color w:val="000000"/>
                <w:kern w:val="0"/>
                <w:szCs w:val="21"/>
              </w:rPr>
              <w:t>营养盐在线监测仪</w:t>
            </w:r>
          </w:p>
        </w:tc>
        <w:tc>
          <w:tcPr>
            <w:tcW w:w="992" w:type="dxa"/>
            <w:vAlign w:val="center"/>
          </w:tcPr>
          <w:p w:rsidR="00334D45" w:rsidRPr="00DB5427" w:rsidRDefault="00334D45" w:rsidP="00D43441">
            <w:pPr>
              <w:jc w:val="center"/>
              <w:rPr>
                <w:rFonts w:ascii="宋体" w:hAnsi="宋体"/>
                <w:color w:val="000000"/>
                <w:szCs w:val="21"/>
              </w:rPr>
            </w:pPr>
            <w:r w:rsidRPr="00DB5427">
              <w:rPr>
                <w:rFonts w:ascii="宋体" w:hAnsi="宋体" w:hint="eastAsia"/>
                <w:color w:val="000000"/>
                <w:szCs w:val="21"/>
              </w:rPr>
              <w:t>1</w:t>
            </w:r>
          </w:p>
        </w:tc>
        <w:tc>
          <w:tcPr>
            <w:tcW w:w="993" w:type="dxa"/>
            <w:vAlign w:val="center"/>
          </w:tcPr>
          <w:p w:rsidR="00334D45" w:rsidRPr="00DB5427" w:rsidRDefault="00334D45" w:rsidP="00D43441">
            <w:pPr>
              <w:jc w:val="center"/>
              <w:rPr>
                <w:rFonts w:ascii="宋体" w:hAnsi="宋体"/>
                <w:color w:val="000000"/>
                <w:szCs w:val="21"/>
              </w:rPr>
            </w:pPr>
            <w:r w:rsidRPr="00DB5427">
              <w:rPr>
                <w:rFonts w:ascii="宋体" w:hAnsi="宋体" w:hint="eastAsia"/>
                <w:color w:val="000000"/>
                <w:szCs w:val="21"/>
              </w:rPr>
              <w:t>套</w:t>
            </w:r>
          </w:p>
        </w:tc>
        <w:tc>
          <w:tcPr>
            <w:tcW w:w="2693" w:type="dxa"/>
            <w:vAlign w:val="center"/>
          </w:tcPr>
          <w:p w:rsidR="00334D45" w:rsidRPr="00DB5427" w:rsidRDefault="00334D45" w:rsidP="00D43441">
            <w:pPr>
              <w:jc w:val="center"/>
              <w:rPr>
                <w:color w:val="000000"/>
              </w:rPr>
            </w:pPr>
            <w:r w:rsidRPr="00DB5427">
              <w:rPr>
                <w:rFonts w:hint="eastAsia"/>
                <w:color w:val="000000"/>
              </w:rPr>
              <w:t>450,0</w:t>
            </w:r>
            <w:r w:rsidRPr="00DB5427">
              <w:rPr>
                <w:color w:val="000000"/>
              </w:rPr>
              <w:t>00.00</w:t>
            </w:r>
          </w:p>
        </w:tc>
      </w:tr>
      <w:tr w:rsidR="00334D45" w:rsidRPr="00DB5427" w:rsidTr="00D43441">
        <w:trPr>
          <w:trHeight w:val="353"/>
        </w:trPr>
        <w:tc>
          <w:tcPr>
            <w:tcW w:w="851" w:type="dxa"/>
            <w:vAlign w:val="center"/>
          </w:tcPr>
          <w:p w:rsidR="00334D45" w:rsidRPr="00DB5427" w:rsidRDefault="00334D45" w:rsidP="00D43441">
            <w:pPr>
              <w:jc w:val="center"/>
              <w:rPr>
                <w:rFonts w:hint="eastAsia"/>
                <w:color w:val="000000"/>
              </w:rPr>
            </w:pPr>
            <w:r w:rsidRPr="00DB5427">
              <w:rPr>
                <w:rFonts w:hint="eastAsia"/>
                <w:color w:val="000000"/>
              </w:rPr>
              <w:t>2</w:t>
            </w:r>
          </w:p>
        </w:tc>
        <w:tc>
          <w:tcPr>
            <w:tcW w:w="2693" w:type="dxa"/>
            <w:vAlign w:val="center"/>
          </w:tcPr>
          <w:p w:rsidR="00334D45" w:rsidRPr="00DB5427" w:rsidRDefault="00334D45" w:rsidP="00D43441">
            <w:pPr>
              <w:jc w:val="center"/>
              <w:rPr>
                <w:rFonts w:ascii="宋体" w:hAnsi="宋体" w:cs="宋体" w:hint="eastAsia"/>
                <w:color w:val="000000"/>
                <w:kern w:val="0"/>
                <w:szCs w:val="21"/>
              </w:rPr>
            </w:pPr>
            <w:r w:rsidRPr="00DB5427">
              <w:rPr>
                <w:rFonts w:ascii="宋体" w:hAnsi="宋体" w:cs="宋体" w:hint="eastAsia"/>
                <w:color w:val="000000"/>
                <w:kern w:val="0"/>
                <w:szCs w:val="21"/>
              </w:rPr>
              <w:t>北斗通讯系统改造</w:t>
            </w:r>
          </w:p>
        </w:tc>
        <w:tc>
          <w:tcPr>
            <w:tcW w:w="992" w:type="dxa"/>
            <w:vAlign w:val="center"/>
          </w:tcPr>
          <w:p w:rsidR="00334D45" w:rsidRPr="00DB5427" w:rsidRDefault="00334D45" w:rsidP="00D43441">
            <w:pPr>
              <w:jc w:val="center"/>
              <w:rPr>
                <w:rFonts w:ascii="宋体" w:hAnsi="宋体" w:hint="eastAsia"/>
                <w:color w:val="000000"/>
                <w:szCs w:val="21"/>
              </w:rPr>
            </w:pPr>
            <w:r w:rsidRPr="00DB5427">
              <w:rPr>
                <w:rFonts w:ascii="宋体" w:hAnsi="宋体" w:hint="eastAsia"/>
                <w:color w:val="000000"/>
                <w:szCs w:val="21"/>
              </w:rPr>
              <w:t>1</w:t>
            </w:r>
          </w:p>
        </w:tc>
        <w:tc>
          <w:tcPr>
            <w:tcW w:w="993" w:type="dxa"/>
            <w:vAlign w:val="center"/>
          </w:tcPr>
          <w:p w:rsidR="00334D45" w:rsidRPr="00DB5427" w:rsidRDefault="00334D45" w:rsidP="00D43441">
            <w:pPr>
              <w:jc w:val="center"/>
              <w:rPr>
                <w:rFonts w:ascii="宋体" w:hAnsi="宋体" w:hint="eastAsia"/>
                <w:color w:val="000000"/>
                <w:szCs w:val="21"/>
              </w:rPr>
            </w:pPr>
            <w:r w:rsidRPr="00DB5427">
              <w:rPr>
                <w:rFonts w:ascii="宋体" w:hAnsi="宋体" w:hint="eastAsia"/>
                <w:color w:val="000000"/>
                <w:szCs w:val="21"/>
              </w:rPr>
              <w:t>项</w:t>
            </w:r>
          </w:p>
        </w:tc>
        <w:tc>
          <w:tcPr>
            <w:tcW w:w="2693" w:type="dxa"/>
            <w:vAlign w:val="center"/>
          </w:tcPr>
          <w:p w:rsidR="00334D45" w:rsidRPr="00DB5427" w:rsidRDefault="00334D45" w:rsidP="00D43441">
            <w:pPr>
              <w:jc w:val="center"/>
              <w:rPr>
                <w:rFonts w:hint="eastAsia"/>
                <w:color w:val="000000"/>
              </w:rPr>
            </w:pPr>
            <w:r w:rsidRPr="00DB5427">
              <w:rPr>
                <w:rFonts w:hint="eastAsia"/>
                <w:color w:val="000000"/>
              </w:rPr>
              <w:t>15,0</w:t>
            </w:r>
            <w:r w:rsidRPr="00DB5427">
              <w:rPr>
                <w:color w:val="000000"/>
              </w:rPr>
              <w:t>00.00</w:t>
            </w:r>
          </w:p>
        </w:tc>
      </w:tr>
      <w:tr w:rsidR="00334D45" w:rsidRPr="00DB5427" w:rsidTr="00D43441">
        <w:trPr>
          <w:trHeight w:val="353"/>
        </w:trPr>
        <w:tc>
          <w:tcPr>
            <w:tcW w:w="5529" w:type="dxa"/>
            <w:gridSpan w:val="4"/>
            <w:vAlign w:val="center"/>
          </w:tcPr>
          <w:p w:rsidR="00334D45" w:rsidRPr="00DB5427" w:rsidRDefault="00334D45" w:rsidP="00D43441">
            <w:pPr>
              <w:jc w:val="center"/>
              <w:rPr>
                <w:rFonts w:hint="eastAsia"/>
                <w:color w:val="000000"/>
              </w:rPr>
            </w:pPr>
            <w:r w:rsidRPr="00DB5427">
              <w:rPr>
                <w:rFonts w:hint="eastAsia"/>
                <w:color w:val="000000"/>
              </w:rPr>
              <w:t>合计</w:t>
            </w:r>
          </w:p>
        </w:tc>
        <w:tc>
          <w:tcPr>
            <w:tcW w:w="2693" w:type="dxa"/>
            <w:vAlign w:val="center"/>
          </w:tcPr>
          <w:p w:rsidR="00334D45" w:rsidRPr="00DB5427" w:rsidRDefault="00334D45" w:rsidP="00D43441">
            <w:pPr>
              <w:jc w:val="center"/>
              <w:rPr>
                <w:rFonts w:hint="eastAsia"/>
                <w:color w:val="000000"/>
              </w:rPr>
            </w:pPr>
            <w:r w:rsidRPr="00DB5427">
              <w:rPr>
                <w:rFonts w:hint="eastAsia"/>
                <w:color w:val="000000"/>
              </w:rPr>
              <w:t>465,0</w:t>
            </w:r>
            <w:r w:rsidRPr="00DB5427">
              <w:rPr>
                <w:color w:val="000000"/>
              </w:rPr>
              <w:t>00.00</w:t>
            </w:r>
          </w:p>
        </w:tc>
      </w:tr>
    </w:tbl>
    <w:p w:rsidR="00334D45" w:rsidRPr="00DB5427" w:rsidRDefault="00334D45" w:rsidP="00334D45">
      <w:pPr>
        <w:rPr>
          <w:rFonts w:hint="eastAsia"/>
          <w:color w:val="000000"/>
        </w:rPr>
      </w:pPr>
      <w:r w:rsidRPr="00DB5427">
        <w:rPr>
          <w:rFonts w:hint="eastAsia"/>
          <w:b/>
          <w:color w:val="000000"/>
        </w:rPr>
        <w:t>注：超过财政预算限额分项报价及总价的投标报价将做无效标处理。</w:t>
      </w:r>
    </w:p>
    <w:p w:rsidR="00334D45" w:rsidRDefault="00334D45" w:rsidP="00334D45">
      <w:pPr>
        <w:rPr>
          <w:rFonts w:hint="eastAsia"/>
        </w:rPr>
      </w:pPr>
    </w:p>
    <w:p w:rsidR="00334D45" w:rsidRPr="003402FB" w:rsidRDefault="00334D45" w:rsidP="00334D45">
      <w:pPr>
        <w:numPr>
          <w:ilvl w:val="0"/>
          <w:numId w:val="2"/>
        </w:numPr>
        <w:tabs>
          <w:tab w:val="left" w:pos="851"/>
        </w:tabs>
        <w:ind w:left="851" w:hanging="851"/>
        <w:rPr>
          <w:rFonts w:hint="eastAsia"/>
          <w:b/>
        </w:rPr>
      </w:pPr>
      <w:r w:rsidRPr="003402FB">
        <w:rPr>
          <w:rFonts w:hint="eastAsia"/>
          <w:b/>
        </w:rPr>
        <w:t>货物详细清单</w:t>
      </w:r>
    </w:p>
    <w:tbl>
      <w:tblPr>
        <w:tblW w:w="8095" w:type="dxa"/>
        <w:tblInd w:w="93" w:type="dxa"/>
        <w:tblLayout w:type="fixed"/>
        <w:tblLook w:val="04A0"/>
      </w:tblPr>
      <w:tblGrid>
        <w:gridCol w:w="724"/>
        <w:gridCol w:w="1985"/>
        <w:gridCol w:w="708"/>
        <w:gridCol w:w="709"/>
        <w:gridCol w:w="3969"/>
      </w:tblGrid>
      <w:tr w:rsidR="00334D45" w:rsidTr="00D43441">
        <w:trPr>
          <w:trHeight w:val="375"/>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rsidR="00334D45" w:rsidRDefault="00334D45" w:rsidP="00D43441">
            <w:pPr>
              <w:widowControl/>
              <w:rPr>
                <w:rFonts w:ascii="宋体" w:hAnsi="宋体" w:cs="宋体"/>
                <w:b/>
                <w:bCs/>
                <w:kern w:val="0"/>
                <w:szCs w:val="24"/>
              </w:rPr>
            </w:pPr>
            <w:r>
              <w:rPr>
                <w:rFonts w:ascii="宋体" w:hAnsi="宋体" w:cs="宋体" w:hint="eastAsia"/>
                <w:b/>
                <w:bCs/>
                <w:kern w:val="0"/>
                <w:szCs w:val="24"/>
              </w:rPr>
              <w:t>序号</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334D45" w:rsidRDefault="00334D45" w:rsidP="00D43441">
            <w:pPr>
              <w:widowControl/>
              <w:jc w:val="center"/>
              <w:rPr>
                <w:rFonts w:ascii="宋体" w:hAnsi="宋体" w:cs="宋体"/>
                <w:b/>
                <w:bCs/>
                <w:kern w:val="0"/>
                <w:szCs w:val="24"/>
              </w:rPr>
            </w:pPr>
            <w:r w:rsidRPr="000E3C38">
              <w:rPr>
                <w:rFonts w:ascii="宋体" w:hAnsi="宋体" w:cs="宋体" w:hint="eastAsia"/>
                <w:b/>
                <w:bCs/>
                <w:kern w:val="0"/>
                <w:szCs w:val="24"/>
              </w:rPr>
              <w:t>配件名称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34D45" w:rsidRDefault="00334D45" w:rsidP="00D43441">
            <w:pPr>
              <w:widowControl/>
              <w:jc w:val="center"/>
              <w:rPr>
                <w:rFonts w:ascii="宋体" w:hAnsi="宋体" w:cs="宋体"/>
                <w:b/>
                <w:bCs/>
                <w:kern w:val="0"/>
                <w:szCs w:val="24"/>
              </w:rPr>
            </w:pPr>
            <w:r>
              <w:rPr>
                <w:rFonts w:ascii="宋体" w:hAnsi="宋体" w:cs="宋体" w:hint="eastAsia"/>
                <w:b/>
                <w:bCs/>
                <w:kern w:val="0"/>
                <w:szCs w:val="24"/>
              </w:rPr>
              <w:t>数量</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34D45" w:rsidRDefault="00334D45" w:rsidP="00D43441">
            <w:pPr>
              <w:widowControl/>
              <w:jc w:val="center"/>
              <w:rPr>
                <w:rFonts w:ascii="宋体" w:hAnsi="宋体" w:cs="宋体"/>
                <w:b/>
                <w:bCs/>
                <w:kern w:val="0"/>
                <w:szCs w:val="24"/>
              </w:rPr>
            </w:pPr>
            <w:r>
              <w:rPr>
                <w:rFonts w:ascii="宋体" w:hAnsi="宋体" w:cs="宋体" w:hint="eastAsia"/>
                <w:b/>
                <w:bCs/>
                <w:kern w:val="0"/>
                <w:szCs w:val="24"/>
              </w:rPr>
              <w:t>单位</w:t>
            </w:r>
          </w:p>
        </w:tc>
        <w:tc>
          <w:tcPr>
            <w:tcW w:w="3969" w:type="dxa"/>
            <w:tcBorders>
              <w:top w:val="single" w:sz="4" w:space="0" w:color="auto"/>
              <w:left w:val="nil"/>
              <w:bottom w:val="single" w:sz="4" w:space="0" w:color="auto"/>
              <w:right w:val="single" w:sz="4" w:space="0" w:color="auto"/>
            </w:tcBorders>
            <w:shd w:val="clear" w:color="000000" w:fill="FFFFFF"/>
            <w:vAlign w:val="center"/>
          </w:tcPr>
          <w:p w:rsidR="00334D45" w:rsidRDefault="00334D45" w:rsidP="00D43441">
            <w:pPr>
              <w:widowControl/>
              <w:jc w:val="center"/>
              <w:rPr>
                <w:rFonts w:ascii="宋体" w:hAnsi="宋体" w:cs="宋体"/>
                <w:b/>
                <w:bCs/>
                <w:kern w:val="0"/>
                <w:szCs w:val="24"/>
              </w:rPr>
            </w:pPr>
            <w:r w:rsidRPr="000E3C38">
              <w:rPr>
                <w:rFonts w:ascii="宋体" w:hAnsi="宋体" w:cs="宋体" w:hint="eastAsia"/>
                <w:b/>
                <w:bCs/>
                <w:kern w:val="0"/>
                <w:szCs w:val="24"/>
              </w:rPr>
              <w:t>主要配置</w:t>
            </w:r>
          </w:p>
        </w:tc>
      </w:tr>
      <w:tr w:rsidR="00334D45" w:rsidTr="00D43441">
        <w:trPr>
          <w:trHeight w:val="375"/>
        </w:trPr>
        <w:tc>
          <w:tcPr>
            <w:tcW w:w="724" w:type="dxa"/>
            <w:tcBorders>
              <w:top w:val="nil"/>
              <w:left w:val="single" w:sz="4" w:space="0" w:color="auto"/>
              <w:bottom w:val="single" w:sz="4" w:space="0" w:color="auto"/>
              <w:right w:val="single" w:sz="4" w:space="0" w:color="auto"/>
            </w:tcBorders>
            <w:shd w:val="clear" w:color="000000" w:fill="FFFFFF"/>
            <w:vAlign w:val="center"/>
          </w:tcPr>
          <w:p w:rsidR="00334D45" w:rsidRPr="00027CF1" w:rsidRDefault="00334D45" w:rsidP="00D43441">
            <w:pPr>
              <w:jc w:val="center"/>
              <w:rPr>
                <w:rFonts w:ascii="宋体" w:hAnsi="宋体" w:cs="宋体"/>
                <w:kern w:val="0"/>
                <w:szCs w:val="21"/>
              </w:rPr>
            </w:pPr>
            <w:r w:rsidRPr="00027CF1">
              <w:rPr>
                <w:rFonts w:ascii="宋体" w:hAnsi="宋体" w:cs="宋体"/>
                <w:kern w:val="0"/>
                <w:szCs w:val="21"/>
              </w:rPr>
              <w:t>1</w:t>
            </w:r>
          </w:p>
        </w:tc>
        <w:tc>
          <w:tcPr>
            <w:tcW w:w="1985" w:type="dxa"/>
            <w:tcBorders>
              <w:top w:val="nil"/>
              <w:left w:val="nil"/>
              <w:bottom w:val="single" w:sz="4" w:space="0" w:color="auto"/>
              <w:right w:val="single" w:sz="4" w:space="0" w:color="auto"/>
            </w:tcBorders>
            <w:shd w:val="clear" w:color="000000" w:fill="FFFFFF"/>
            <w:vAlign w:val="center"/>
          </w:tcPr>
          <w:p w:rsidR="00334D45" w:rsidRPr="00EE24EE" w:rsidRDefault="00334D45" w:rsidP="00D43441">
            <w:pPr>
              <w:jc w:val="center"/>
              <w:rPr>
                <w:rFonts w:ascii="宋体" w:hAnsi="宋体" w:cs="宋体"/>
                <w:kern w:val="0"/>
                <w:szCs w:val="21"/>
              </w:rPr>
            </w:pPr>
            <w:r w:rsidRPr="00EE24EE">
              <w:rPr>
                <w:rFonts w:ascii="宋体" w:hAnsi="宋体" w:cs="宋体" w:hint="eastAsia"/>
                <w:kern w:val="0"/>
                <w:szCs w:val="21"/>
              </w:rPr>
              <w:t>营养盐在线监测仪</w:t>
            </w:r>
          </w:p>
        </w:tc>
        <w:tc>
          <w:tcPr>
            <w:tcW w:w="708" w:type="dxa"/>
            <w:tcBorders>
              <w:top w:val="nil"/>
              <w:left w:val="nil"/>
              <w:bottom w:val="single" w:sz="4" w:space="0" w:color="auto"/>
              <w:right w:val="single" w:sz="4" w:space="0" w:color="auto"/>
            </w:tcBorders>
            <w:shd w:val="clear" w:color="000000" w:fill="FFFFFF"/>
            <w:vAlign w:val="center"/>
          </w:tcPr>
          <w:p w:rsidR="00334D45" w:rsidRPr="00027CF1" w:rsidRDefault="00334D45" w:rsidP="00D43441">
            <w:pPr>
              <w:jc w:val="center"/>
              <w:rPr>
                <w:rFonts w:ascii="宋体" w:hAnsi="宋体" w:cs="宋体"/>
                <w:kern w:val="0"/>
                <w:szCs w:val="21"/>
              </w:rPr>
            </w:pPr>
            <w:r w:rsidRPr="00027CF1">
              <w:rPr>
                <w:rFonts w:ascii="宋体" w:hAnsi="宋体" w:cs="宋体" w:hint="eastAsia"/>
                <w:kern w:val="0"/>
                <w:szCs w:val="21"/>
              </w:rPr>
              <w:t>1</w:t>
            </w:r>
          </w:p>
        </w:tc>
        <w:tc>
          <w:tcPr>
            <w:tcW w:w="709" w:type="dxa"/>
            <w:tcBorders>
              <w:top w:val="nil"/>
              <w:left w:val="nil"/>
              <w:bottom w:val="single" w:sz="4" w:space="0" w:color="auto"/>
              <w:right w:val="single" w:sz="4" w:space="0" w:color="auto"/>
            </w:tcBorders>
            <w:shd w:val="clear" w:color="000000" w:fill="FFFFFF"/>
            <w:vAlign w:val="center"/>
          </w:tcPr>
          <w:p w:rsidR="00334D45" w:rsidRPr="00027CF1" w:rsidRDefault="00334D45" w:rsidP="00D43441">
            <w:pPr>
              <w:jc w:val="center"/>
              <w:rPr>
                <w:rFonts w:ascii="宋体" w:hAnsi="宋体" w:cs="宋体"/>
                <w:kern w:val="0"/>
                <w:szCs w:val="21"/>
              </w:rPr>
            </w:pPr>
            <w:r>
              <w:rPr>
                <w:rFonts w:ascii="宋体" w:hAnsi="宋体" w:cs="宋体" w:hint="eastAsia"/>
                <w:kern w:val="0"/>
                <w:szCs w:val="21"/>
              </w:rPr>
              <w:t>套</w:t>
            </w:r>
          </w:p>
        </w:tc>
        <w:tc>
          <w:tcPr>
            <w:tcW w:w="3969" w:type="dxa"/>
            <w:tcBorders>
              <w:top w:val="nil"/>
              <w:left w:val="nil"/>
              <w:bottom w:val="single" w:sz="4" w:space="0" w:color="auto"/>
              <w:right w:val="single" w:sz="4" w:space="0" w:color="auto"/>
            </w:tcBorders>
            <w:shd w:val="clear" w:color="auto" w:fill="auto"/>
            <w:vAlign w:val="center"/>
          </w:tcPr>
          <w:p w:rsidR="00334D45" w:rsidRPr="00EE24EE" w:rsidRDefault="00334D45" w:rsidP="00D43441">
            <w:pPr>
              <w:jc w:val="left"/>
              <w:rPr>
                <w:rFonts w:ascii="宋体" w:hAnsi="宋体" w:cs="宋体"/>
                <w:kern w:val="0"/>
                <w:szCs w:val="21"/>
              </w:rPr>
            </w:pPr>
            <w:r w:rsidRPr="00EE24EE">
              <w:rPr>
                <w:rFonts w:ascii="宋体" w:hAnsi="宋体" w:cs="宋体" w:hint="eastAsia"/>
                <w:kern w:val="0"/>
                <w:szCs w:val="21"/>
              </w:rPr>
              <w:t>包括分析系统主机、氨氮/</w:t>
            </w:r>
            <w:proofErr w:type="gramStart"/>
            <w:r w:rsidRPr="00EE24EE">
              <w:rPr>
                <w:rFonts w:ascii="宋体" w:hAnsi="宋体" w:cs="宋体" w:hint="eastAsia"/>
                <w:kern w:val="0"/>
                <w:szCs w:val="21"/>
              </w:rPr>
              <w:t>硝氮/亚硝氮/</w:t>
            </w:r>
            <w:proofErr w:type="gramEnd"/>
            <w:r w:rsidRPr="00EE24EE">
              <w:rPr>
                <w:rFonts w:ascii="宋体" w:hAnsi="宋体" w:cs="宋体" w:hint="eastAsia"/>
                <w:kern w:val="0"/>
                <w:szCs w:val="21"/>
              </w:rPr>
              <w:t>磷酸盐检测器、框架和试剂罐、试剂袋套装、连接浮标电缆、直连PC维护电缆、服务和维护软件</w:t>
            </w:r>
          </w:p>
        </w:tc>
      </w:tr>
      <w:tr w:rsidR="00334D45" w:rsidTr="00D43441">
        <w:trPr>
          <w:trHeight w:val="375"/>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rsidR="00334D45" w:rsidRPr="00027CF1" w:rsidRDefault="00334D45" w:rsidP="00D43441">
            <w:pPr>
              <w:jc w:val="center"/>
              <w:rPr>
                <w:rFonts w:ascii="宋体" w:hAnsi="宋体" w:cs="宋体"/>
                <w:kern w:val="0"/>
                <w:szCs w:val="21"/>
              </w:rPr>
            </w:pPr>
            <w:r>
              <w:rPr>
                <w:rFonts w:ascii="宋体" w:hAnsi="宋体" w:cs="宋体" w:hint="eastAsia"/>
                <w:kern w:val="0"/>
                <w:szCs w:val="21"/>
              </w:rPr>
              <w:t>2</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334D45" w:rsidRPr="00EE24EE" w:rsidRDefault="00334D45" w:rsidP="00D43441">
            <w:pPr>
              <w:jc w:val="center"/>
              <w:rPr>
                <w:rFonts w:ascii="宋体" w:hAnsi="宋体" w:cs="宋体"/>
                <w:kern w:val="0"/>
                <w:szCs w:val="21"/>
              </w:rPr>
            </w:pPr>
            <w:r w:rsidRPr="00EE24EE">
              <w:rPr>
                <w:rFonts w:ascii="宋体" w:hAnsi="宋体" w:cs="宋体" w:hint="eastAsia"/>
                <w:kern w:val="0"/>
                <w:szCs w:val="21"/>
              </w:rPr>
              <w:t>北斗通讯系统改造</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34D45" w:rsidRPr="00027CF1" w:rsidRDefault="00334D45" w:rsidP="00D43441">
            <w:pPr>
              <w:jc w:val="center"/>
              <w:rPr>
                <w:rFonts w:ascii="宋体" w:hAnsi="宋体" w:cs="宋体" w:hint="eastAsia"/>
                <w:kern w:val="0"/>
                <w:szCs w:val="21"/>
              </w:rPr>
            </w:pPr>
            <w:r>
              <w:rPr>
                <w:rFonts w:ascii="宋体" w:hAnsi="宋体" w:cs="宋体" w:hint="eastAsia"/>
                <w:kern w:val="0"/>
                <w:szCs w:val="21"/>
              </w:rPr>
              <w:t>1</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34D45" w:rsidRDefault="00334D45" w:rsidP="00D43441">
            <w:pPr>
              <w:jc w:val="center"/>
              <w:rPr>
                <w:rFonts w:ascii="宋体" w:hAnsi="宋体" w:cs="宋体" w:hint="eastAsia"/>
                <w:kern w:val="0"/>
                <w:szCs w:val="21"/>
              </w:rPr>
            </w:pPr>
            <w:r>
              <w:rPr>
                <w:rFonts w:ascii="宋体" w:hAnsi="宋体" w:cs="宋体" w:hint="eastAsia"/>
                <w:kern w:val="0"/>
                <w:szCs w:val="21"/>
              </w:rPr>
              <w:t>项</w:t>
            </w:r>
          </w:p>
        </w:tc>
        <w:tc>
          <w:tcPr>
            <w:tcW w:w="3969" w:type="dxa"/>
            <w:tcBorders>
              <w:top w:val="single" w:sz="4" w:space="0" w:color="auto"/>
              <w:left w:val="nil"/>
              <w:bottom w:val="single" w:sz="4" w:space="0" w:color="auto"/>
              <w:right w:val="single" w:sz="4" w:space="0" w:color="auto"/>
            </w:tcBorders>
            <w:shd w:val="clear" w:color="auto" w:fill="auto"/>
            <w:vAlign w:val="center"/>
          </w:tcPr>
          <w:p w:rsidR="00334D45" w:rsidRPr="00EE24EE" w:rsidRDefault="00334D45" w:rsidP="00D43441">
            <w:pPr>
              <w:jc w:val="left"/>
              <w:rPr>
                <w:rFonts w:ascii="宋体" w:hAnsi="宋体" w:cs="宋体"/>
                <w:kern w:val="0"/>
                <w:szCs w:val="21"/>
              </w:rPr>
            </w:pPr>
            <w:r w:rsidRPr="00EE24EE">
              <w:rPr>
                <w:rFonts w:ascii="宋体" w:hAnsi="宋体" w:cs="宋体" w:hint="eastAsia"/>
                <w:kern w:val="0"/>
                <w:szCs w:val="21"/>
              </w:rPr>
              <w:t>电子控制舱改造</w:t>
            </w:r>
          </w:p>
          <w:p w:rsidR="00334D45" w:rsidRPr="00EE24EE" w:rsidRDefault="00334D45" w:rsidP="00D43441">
            <w:pPr>
              <w:jc w:val="left"/>
              <w:rPr>
                <w:rFonts w:ascii="宋体" w:hAnsi="宋体" w:cs="宋体"/>
                <w:kern w:val="0"/>
                <w:szCs w:val="21"/>
              </w:rPr>
            </w:pPr>
            <w:proofErr w:type="gramStart"/>
            <w:r w:rsidRPr="00EE24EE">
              <w:rPr>
                <w:rFonts w:ascii="宋体" w:hAnsi="宋体" w:cs="宋体" w:hint="eastAsia"/>
                <w:kern w:val="0"/>
                <w:szCs w:val="21"/>
              </w:rPr>
              <w:t>数采软件</w:t>
            </w:r>
            <w:proofErr w:type="gramEnd"/>
            <w:r w:rsidRPr="00EE24EE">
              <w:rPr>
                <w:rFonts w:ascii="宋体" w:hAnsi="宋体" w:cs="宋体" w:hint="eastAsia"/>
                <w:kern w:val="0"/>
                <w:szCs w:val="21"/>
              </w:rPr>
              <w:t>改写</w:t>
            </w:r>
          </w:p>
          <w:p w:rsidR="00334D45" w:rsidRPr="00EE24EE" w:rsidRDefault="00334D45" w:rsidP="00D43441">
            <w:pPr>
              <w:jc w:val="left"/>
              <w:rPr>
                <w:rFonts w:ascii="宋体" w:hAnsi="宋体" w:cs="宋体"/>
                <w:kern w:val="0"/>
                <w:szCs w:val="21"/>
              </w:rPr>
            </w:pPr>
            <w:r w:rsidRPr="00EE24EE">
              <w:rPr>
                <w:rFonts w:ascii="宋体" w:hAnsi="宋体" w:cs="宋体" w:hint="eastAsia"/>
                <w:kern w:val="0"/>
                <w:szCs w:val="21"/>
              </w:rPr>
              <w:t>北斗通讯传输装置加装</w:t>
            </w:r>
          </w:p>
        </w:tc>
      </w:tr>
    </w:tbl>
    <w:p w:rsidR="00334D45" w:rsidRDefault="00334D45" w:rsidP="00334D45">
      <w:pPr>
        <w:tabs>
          <w:tab w:val="left" w:pos="851"/>
        </w:tabs>
        <w:ind w:left="851"/>
        <w:rPr>
          <w:rFonts w:hint="eastAsia"/>
        </w:rPr>
      </w:pPr>
    </w:p>
    <w:p w:rsidR="00334D45" w:rsidRPr="0006133B" w:rsidRDefault="00334D45" w:rsidP="00334D45">
      <w:pPr>
        <w:pStyle w:val="2"/>
        <w:tabs>
          <w:tab w:val="left" w:pos="426"/>
        </w:tabs>
        <w:spacing w:beforeLines="50" w:afterLines="50"/>
        <w:rPr>
          <w:rFonts w:ascii="Times New Roman" w:hAnsi="Times New Roman" w:hint="eastAsia"/>
          <w:sz w:val="30"/>
          <w:szCs w:val="30"/>
        </w:rPr>
      </w:pPr>
      <w:proofErr w:type="spellStart"/>
      <w:r w:rsidRPr="0006133B">
        <w:rPr>
          <w:rFonts w:ascii="Times New Roman" w:hAnsi="Times New Roman" w:hint="eastAsia"/>
          <w:sz w:val="30"/>
          <w:szCs w:val="30"/>
        </w:rPr>
        <w:t>三、项目概况</w:t>
      </w:r>
      <w:proofErr w:type="spellEnd"/>
    </w:p>
    <w:p w:rsidR="00334D45" w:rsidRPr="00706AC7" w:rsidRDefault="00334D45" w:rsidP="00334D45">
      <w:pPr>
        <w:rPr>
          <w:rFonts w:hint="eastAsia"/>
        </w:rPr>
      </w:pPr>
      <w:r w:rsidRPr="0006133B">
        <w:rPr>
          <w:rFonts w:hint="eastAsia"/>
        </w:rPr>
        <w:t>本项目为深圳市海洋生态监测浮标系统的配件更换项目</w:t>
      </w:r>
      <w:r>
        <w:rPr>
          <w:rFonts w:hint="eastAsia"/>
        </w:rPr>
        <w:t>，</w:t>
      </w:r>
      <w:r w:rsidRPr="0006133B">
        <w:rPr>
          <w:rFonts w:hint="eastAsia"/>
        </w:rPr>
        <w:t>主要对生态监测浮标上老化的</w:t>
      </w:r>
      <w:proofErr w:type="gramStart"/>
      <w:r w:rsidRPr="0006133B">
        <w:rPr>
          <w:rFonts w:hint="eastAsia"/>
        </w:rPr>
        <w:t>的</w:t>
      </w:r>
      <w:proofErr w:type="gramEnd"/>
      <w:r w:rsidRPr="0006133B">
        <w:rPr>
          <w:rFonts w:hint="eastAsia"/>
        </w:rPr>
        <w:t>营养盐在线监测仪进行购置以及海上更换调测，并对浮标通讯系统进行升级改造，确保系统整体运行正常，数据传输正常。</w:t>
      </w:r>
    </w:p>
    <w:p w:rsidR="00334D45" w:rsidRDefault="00334D45" w:rsidP="00334D45">
      <w:pPr>
        <w:pStyle w:val="2"/>
        <w:tabs>
          <w:tab w:val="left" w:pos="426"/>
        </w:tabs>
        <w:spacing w:beforeLines="50" w:afterLines="50"/>
        <w:rPr>
          <w:rFonts w:ascii="Times New Roman" w:hAnsi="Times New Roman"/>
          <w:sz w:val="30"/>
          <w:szCs w:val="30"/>
        </w:rPr>
      </w:pPr>
      <w:r>
        <w:rPr>
          <w:rFonts w:ascii="Times New Roman" w:hAnsi="Times New Roman" w:hint="eastAsia"/>
          <w:sz w:val="30"/>
          <w:szCs w:val="30"/>
          <w:lang w:eastAsia="zh-CN"/>
        </w:rPr>
        <w:t>四</w:t>
      </w:r>
      <w:r>
        <w:rPr>
          <w:rFonts w:ascii="Times New Roman" w:hAnsi="Times New Roman"/>
          <w:sz w:val="30"/>
          <w:szCs w:val="30"/>
        </w:rPr>
        <w:t>、</w:t>
      </w:r>
      <w:proofErr w:type="spellStart"/>
      <w:r>
        <w:rPr>
          <w:rFonts w:ascii="Times New Roman" w:hAnsi="Times New Roman"/>
          <w:sz w:val="30"/>
          <w:szCs w:val="30"/>
        </w:rPr>
        <w:t>具体技术要求</w:t>
      </w:r>
      <w:proofErr w:type="spellEnd"/>
    </w:p>
    <w:p w:rsidR="00334D45" w:rsidRDefault="00334D45" w:rsidP="00334D45">
      <w:pPr>
        <w:rPr>
          <w:rFonts w:ascii="Times New Roman" w:hAnsi="Times New Roman" w:hint="eastAsia"/>
        </w:rPr>
      </w:pPr>
      <w:r>
        <w:rPr>
          <w:rFonts w:ascii="Times New Roman" w:hAnsi="Times New Roman"/>
        </w:rPr>
        <w:t>说明：投标人须如实填写《技术规格偏离表》，并按采购文件的要求提供相关证明资料，包括产品原厂说明书或产品彩页等。提供的证明资料与投标响应情况不相符的，视为《技术规格偏离表》填写不实。</w:t>
      </w:r>
    </w:p>
    <w:p w:rsidR="00334D45" w:rsidRPr="00BD66FB" w:rsidRDefault="00334D45" w:rsidP="00334D45">
      <w:pPr>
        <w:rPr>
          <w:b/>
          <w:bCs/>
        </w:rPr>
      </w:pPr>
      <w:r>
        <w:rPr>
          <w:rFonts w:hint="eastAsia"/>
          <w:b/>
          <w:bCs/>
        </w:rPr>
        <w:lastRenderedPageBreak/>
        <w:t>1.</w:t>
      </w:r>
      <w:r w:rsidRPr="00BD66FB">
        <w:rPr>
          <w:rFonts w:hint="eastAsia"/>
          <w:b/>
          <w:bCs/>
        </w:rPr>
        <w:t>营养盐监测仪</w:t>
      </w:r>
      <w:r w:rsidRPr="00BD66FB">
        <w:rPr>
          <w:rFonts w:hint="eastAsia"/>
          <w:b/>
          <w:bCs/>
        </w:rPr>
        <w:t xml:space="preserve"> 1</w:t>
      </w:r>
      <w:r w:rsidRPr="00BD66FB">
        <w:rPr>
          <w:rFonts w:hint="eastAsia"/>
          <w:b/>
          <w:bCs/>
        </w:rPr>
        <w:t>套</w:t>
      </w:r>
    </w:p>
    <w:p w:rsidR="00334D45" w:rsidRPr="00BD66FB" w:rsidRDefault="00334D45" w:rsidP="00334D45">
      <w:pPr>
        <w:rPr>
          <w:b/>
        </w:rPr>
      </w:pPr>
      <w:r w:rsidRPr="00BD66FB">
        <w:rPr>
          <w:rFonts w:hint="eastAsia"/>
          <w:b/>
        </w:rPr>
        <w:t xml:space="preserve">1.1 </w:t>
      </w:r>
      <w:r w:rsidRPr="00BD66FB">
        <w:rPr>
          <w:rFonts w:hint="eastAsia"/>
          <w:b/>
        </w:rPr>
        <w:t>主要配置要求</w:t>
      </w:r>
    </w:p>
    <w:p w:rsidR="00334D45" w:rsidRPr="00BD66FB" w:rsidRDefault="00334D45" w:rsidP="00334D45">
      <w:r w:rsidRPr="00BD66FB">
        <w:rPr>
          <w:rFonts w:hint="eastAsia"/>
        </w:rPr>
        <w:t xml:space="preserve">1.1.1 </w:t>
      </w:r>
      <w:r w:rsidRPr="00BD66FB">
        <w:rPr>
          <w:rFonts w:hint="eastAsia"/>
        </w:rPr>
        <w:t>分析系统主机</w:t>
      </w:r>
    </w:p>
    <w:p w:rsidR="00334D45" w:rsidRPr="00BD66FB" w:rsidRDefault="00334D45" w:rsidP="00334D45">
      <w:r w:rsidRPr="00BD66FB">
        <w:rPr>
          <w:rFonts w:hint="eastAsia"/>
        </w:rPr>
        <w:t xml:space="preserve">1.1.2 </w:t>
      </w:r>
      <w:r w:rsidRPr="00BD66FB">
        <w:rPr>
          <w:rFonts w:hint="eastAsia"/>
        </w:rPr>
        <w:t>硝酸盐</w:t>
      </w:r>
      <w:r w:rsidRPr="00BD66FB">
        <w:rPr>
          <w:rFonts w:hint="eastAsia"/>
        </w:rPr>
        <w:t>/</w:t>
      </w:r>
      <w:r w:rsidRPr="00BD66FB">
        <w:rPr>
          <w:rFonts w:hint="eastAsia"/>
        </w:rPr>
        <w:t>磷酸盐检测器</w:t>
      </w:r>
    </w:p>
    <w:p w:rsidR="00334D45" w:rsidRPr="00BD66FB" w:rsidRDefault="00334D45" w:rsidP="00334D45">
      <w:r w:rsidRPr="00BD66FB">
        <w:rPr>
          <w:rFonts w:hint="eastAsia"/>
        </w:rPr>
        <w:t xml:space="preserve">1.1.3 </w:t>
      </w:r>
      <w:r w:rsidRPr="00BD66FB">
        <w:rPr>
          <w:rFonts w:hint="eastAsia"/>
        </w:rPr>
        <w:t>氨氮检测器</w:t>
      </w:r>
    </w:p>
    <w:p w:rsidR="00334D45" w:rsidRPr="00BD66FB" w:rsidRDefault="00334D45" w:rsidP="00334D45">
      <w:r w:rsidRPr="00BD66FB">
        <w:rPr>
          <w:rFonts w:hint="eastAsia"/>
        </w:rPr>
        <w:t xml:space="preserve">1.1.4 </w:t>
      </w:r>
      <w:r w:rsidRPr="00BD66FB">
        <w:rPr>
          <w:rFonts w:hint="eastAsia"/>
        </w:rPr>
        <w:t>框架和试剂罐</w:t>
      </w:r>
    </w:p>
    <w:p w:rsidR="00334D45" w:rsidRPr="00BD66FB" w:rsidRDefault="00334D45" w:rsidP="00334D45">
      <w:r w:rsidRPr="00BD66FB">
        <w:rPr>
          <w:rFonts w:hint="eastAsia"/>
        </w:rPr>
        <w:t xml:space="preserve">1.1.5 </w:t>
      </w:r>
      <w:r w:rsidRPr="00BD66FB">
        <w:rPr>
          <w:rFonts w:hint="eastAsia"/>
        </w:rPr>
        <w:t>试剂袋套装</w:t>
      </w:r>
    </w:p>
    <w:p w:rsidR="00334D45" w:rsidRPr="00BD66FB" w:rsidRDefault="00334D45" w:rsidP="00334D45">
      <w:r w:rsidRPr="00BD66FB">
        <w:rPr>
          <w:rFonts w:hint="eastAsia"/>
        </w:rPr>
        <w:t xml:space="preserve">1.1.6 </w:t>
      </w:r>
      <w:r w:rsidRPr="00BD66FB">
        <w:rPr>
          <w:rFonts w:hint="eastAsia"/>
        </w:rPr>
        <w:t>过滤器</w:t>
      </w:r>
    </w:p>
    <w:p w:rsidR="00334D45" w:rsidRPr="00BD66FB" w:rsidRDefault="00334D45" w:rsidP="00334D45">
      <w:r w:rsidRPr="00BD66FB">
        <w:rPr>
          <w:rFonts w:hint="eastAsia"/>
        </w:rPr>
        <w:t xml:space="preserve">1.1.7 </w:t>
      </w:r>
      <w:r w:rsidRPr="00BD66FB">
        <w:rPr>
          <w:rFonts w:hint="eastAsia"/>
        </w:rPr>
        <w:t>连接浮标电缆</w:t>
      </w:r>
    </w:p>
    <w:p w:rsidR="00334D45" w:rsidRPr="00BD66FB" w:rsidRDefault="00334D45" w:rsidP="00334D45">
      <w:r w:rsidRPr="00BD66FB">
        <w:rPr>
          <w:rFonts w:hint="eastAsia"/>
        </w:rPr>
        <w:t xml:space="preserve">1.1.8 </w:t>
      </w:r>
      <w:r w:rsidRPr="00BD66FB">
        <w:rPr>
          <w:rFonts w:hint="eastAsia"/>
        </w:rPr>
        <w:t>直连</w:t>
      </w:r>
      <w:r w:rsidRPr="00BD66FB">
        <w:rPr>
          <w:rFonts w:hint="eastAsia"/>
        </w:rPr>
        <w:t>PC</w:t>
      </w:r>
      <w:r w:rsidRPr="00BD66FB">
        <w:rPr>
          <w:rFonts w:hint="eastAsia"/>
        </w:rPr>
        <w:t>维护电缆</w:t>
      </w:r>
    </w:p>
    <w:p w:rsidR="00334D45" w:rsidRPr="00BD66FB" w:rsidRDefault="00334D45" w:rsidP="00334D45">
      <w:r w:rsidRPr="00BD66FB">
        <w:rPr>
          <w:rFonts w:hint="eastAsia"/>
        </w:rPr>
        <w:t xml:space="preserve">1.1.9 </w:t>
      </w:r>
      <w:r w:rsidRPr="00BD66FB">
        <w:rPr>
          <w:rFonts w:hint="eastAsia"/>
        </w:rPr>
        <w:t>服务和维护软件</w:t>
      </w:r>
    </w:p>
    <w:p w:rsidR="00334D45" w:rsidRPr="00BD66FB" w:rsidRDefault="00334D45" w:rsidP="00334D45">
      <w:r w:rsidRPr="00BD66FB">
        <w:rPr>
          <w:rFonts w:hint="eastAsia"/>
        </w:rPr>
        <w:t xml:space="preserve">1.1.10 </w:t>
      </w:r>
      <w:r w:rsidRPr="00BD66FB">
        <w:rPr>
          <w:rFonts w:hint="eastAsia"/>
        </w:rPr>
        <w:t>工具箱</w:t>
      </w:r>
    </w:p>
    <w:p w:rsidR="00334D45" w:rsidRPr="00BD66FB" w:rsidRDefault="00334D45" w:rsidP="00334D45">
      <w:pPr>
        <w:rPr>
          <w:b/>
        </w:rPr>
      </w:pPr>
      <w:r w:rsidRPr="00BD66FB">
        <w:rPr>
          <w:rFonts w:hint="eastAsia"/>
          <w:b/>
        </w:rPr>
        <w:t>1.2</w:t>
      </w:r>
      <w:r w:rsidRPr="00BD66FB">
        <w:rPr>
          <w:rFonts w:hint="eastAsia"/>
          <w:b/>
        </w:rPr>
        <w:t>技术性能参数</w:t>
      </w:r>
    </w:p>
    <w:p w:rsidR="00334D45" w:rsidRPr="00BD66FB" w:rsidRDefault="00334D45" w:rsidP="00334D45">
      <w:r w:rsidRPr="00BD66FB">
        <w:rPr>
          <w:rFonts w:hint="eastAsia"/>
          <w:b/>
        </w:rPr>
        <w:t>★</w:t>
      </w:r>
      <w:r w:rsidRPr="00BD66FB">
        <w:rPr>
          <w:rFonts w:hint="eastAsia"/>
        </w:rPr>
        <w:t>1.2.1</w:t>
      </w:r>
      <w:r w:rsidRPr="00BD66FB">
        <w:rPr>
          <w:rFonts w:hint="eastAsia"/>
        </w:rPr>
        <w:t>可安装至已有生态浮标上，测量参数：</w:t>
      </w:r>
      <w:r w:rsidRPr="00BD66FB">
        <w:t>NH</w:t>
      </w:r>
      <w:r w:rsidRPr="00BD66FB">
        <w:rPr>
          <w:vertAlign w:val="subscript"/>
        </w:rPr>
        <w:t>3</w:t>
      </w:r>
      <w:r w:rsidRPr="00BD66FB">
        <w:t>, NO</w:t>
      </w:r>
      <w:r w:rsidRPr="00BD66FB">
        <w:rPr>
          <w:vertAlign w:val="subscript"/>
        </w:rPr>
        <w:t>3</w:t>
      </w:r>
      <w:r w:rsidRPr="00BD66FB">
        <w:t>+NO</w:t>
      </w:r>
      <w:r w:rsidRPr="00BD66FB">
        <w:rPr>
          <w:vertAlign w:val="subscript"/>
        </w:rPr>
        <w:t>2</w:t>
      </w:r>
      <w:r w:rsidRPr="00BD66FB">
        <w:t>, NO</w:t>
      </w:r>
      <w:r w:rsidRPr="00BD66FB">
        <w:rPr>
          <w:vertAlign w:val="subscript"/>
        </w:rPr>
        <w:t>2</w:t>
      </w:r>
      <w:r w:rsidRPr="00BD66FB">
        <w:t>, PO</w:t>
      </w:r>
      <w:r w:rsidRPr="00BD66FB">
        <w:rPr>
          <w:vertAlign w:val="subscript"/>
        </w:rPr>
        <w:t>4</w:t>
      </w:r>
      <w:r w:rsidRPr="00BD66FB">
        <w:rPr>
          <w:rFonts w:hint="eastAsia"/>
        </w:rPr>
        <w:t>。</w:t>
      </w:r>
    </w:p>
    <w:p w:rsidR="00334D45" w:rsidRPr="00BD66FB" w:rsidRDefault="00334D45" w:rsidP="00334D45">
      <w:r w:rsidRPr="00BD66FB">
        <w:rPr>
          <w:rFonts w:hint="eastAsia"/>
        </w:rPr>
        <w:t xml:space="preserve">1.2.2 </w:t>
      </w:r>
      <w:r w:rsidRPr="00BD66FB">
        <w:rPr>
          <w:rFonts w:hint="eastAsia"/>
        </w:rPr>
        <w:t>原位分析：探针式全水密设计，适用于水下原位分析。</w:t>
      </w:r>
    </w:p>
    <w:p w:rsidR="00334D45" w:rsidRPr="00BD66FB" w:rsidRDefault="00334D45" w:rsidP="00334D45">
      <w:r w:rsidRPr="00BD66FB">
        <w:rPr>
          <w:rFonts w:hint="eastAsia"/>
        </w:rPr>
        <w:t>1.2.3</w:t>
      </w:r>
      <w:r w:rsidRPr="00BD66FB">
        <w:rPr>
          <w:rFonts w:hint="eastAsia"/>
        </w:rPr>
        <w:t>光源：内含检测光源</w:t>
      </w:r>
      <w:r w:rsidRPr="00BD66FB">
        <w:rPr>
          <w:rFonts w:hint="eastAsia"/>
        </w:rPr>
        <w:t>+</w:t>
      </w:r>
      <w:r w:rsidRPr="00BD66FB">
        <w:rPr>
          <w:rFonts w:hint="eastAsia"/>
        </w:rPr>
        <w:t>参比光源、分光光度检测模块（比色法</w:t>
      </w:r>
      <w:r w:rsidRPr="00BD66FB">
        <w:rPr>
          <w:rFonts w:hint="eastAsia"/>
        </w:rPr>
        <w:t>+</w:t>
      </w:r>
      <w:r w:rsidRPr="00BD66FB">
        <w:rPr>
          <w:rFonts w:hint="eastAsia"/>
        </w:rPr>
        <w:t>荧光法二合一）</w:t>
      </w:r>
    </w:p>
    <w:p w:rsidR="00334D45" w:rsidRPr="00BD66FB" w:rsidRDefault="00334D45" w:rsidP="00334D45">
      <w:r w:rsidRPr="00BD66FB">
        <w:rPr>
          <w:rFonts w:hint="eastAsia"/>
        </w:rPr>
        <w:t>1.2.4</w:t>
      </w:r>
      <w:r w:rsidRPr="00BD66FB">
        <w:rPr>
          <w:rFonts w:hint="eastAsia"/>
        </w:rPr>
        <w:t>检测器：硅探头多光束光纤式比色计及荧光计</w:t>
      </w:r>
    </w:p>
    <w:p w:rsidR="00334D45" w:rsidRPr="00BD66FB" w:rsidRDefault="00334D45" w:rsidP="00334D45">
      <w:r w:rsidRPr="00BD66FB">
        <w:rPr>
          <w:rFonts w:hint="eastAsia"/>
        </w:rPr>
        <w:t>1.2.5</w:t>
      </w:r>
      <w:r w:rsidRPr="00BD66FB">
        <w:rPr>
          <w:rFonts w:hint="eastAsia"/>
        </w:rPr>
        <w:t>测量方式：顺序批处理</w:t>
      </w:r>
    </w:p>
    <w:p w:rsidR="00334D45" w:rsidRPr="00BD66FB" w:rsidRDefault="00334D45" w:rsidP="00334D45">
      <w:r w:rsidRPr="00BD66FB">
        <w:rPr>
          <w:rFonts w:hint="eastAsia"/>
        </w:rPr>
        <w:t>1.2.6</w:t>
      </w:r>
      <w:r w:rsidRPr="00BD66FB">
        <w:rPr>
          <w:rFonts w:hint="eastAsia"/>
        </w:rPr>
        <w:t>测量间隔：程序可编</w:t>
      </w:r>
    </w:p>
    <w:p w:rsidR="00334D45" w:rsidRPr="00BD66FB" w:rsidRDefault="00334D45" w:rsidP="00334D45">
      <w:r w:rsidRPr="00BD66FB">
        <w:rPr>
          <w:rFonts w:hint="eastAsia"/>
        </w:rPr>
        <w:t>1.2.7</w:t>
      </w:r>
      <w:r w:rsidRPr="00BD66FB">
        <w:rPr>
          <w:rFonts w:hint="eastAsia"/>
        </w:rPr>
        <w:t>测量时间：</w:t>
      </w:r>
      <w:r w:rsidRPr="00BD66FB">
        <w:rPr>
          <w:rFonts w:hint="eastAsia"/>
        </w:rPr>
        <w:t>1</w:t>
      </w:r>
      <w:r w:rsidRPr="00BD66FB">
        <w:rPr>
          <w:rFonts w:hint="eastAsia"/>
        </w:rPr>
        <w:t>小时内测量全部四个参数</w:t>
      </w:r>
    </w:p>
    <w:p w:rsidR="00334D45" w:rsidRPr="00BD66FB" w:rsidRDefault="00334D45" w:rsidP="00334D45">
      <w:r w:rsidRPr="00BD66FB">
        <w:rPr>
          <w:rFonts w:hint="eastAsia"/>
        </w:rPr>
        <w:t>1.2.8</w:t>
      </w:r>
      <w:r w:rsidRPr="00BD66FB">
        <w:rPr>
          <w:rFonts w:hint="eastAsia"/>
        </w:rPr>
        <w:t>最大投放深度：</w:t>
      </w:r>
      <w:r w:rsidRPr="00BD66FB">
        <w:rPr>
          <w:rFonts w:hint="eastAsia"/>
        </w:rPr>
        <w:t>10</w:t>
      </w:r>
      <w:r w:rsidRPr="00BD66FB">
        <w:rPr>
          <w:rFonts w:hint="eastAsia"/>
        </w:rPr>
        <w:t>米</w:t>
      </w:r>
    </w:p>
    <w:p w:rsidR="00334D45" w:rsidRPr="00BD66FB" w:rsidRDefault="00334D45" w:rsidP="00334D45">
      <w:r w:rsidRPr="00BD66FB">
        <w:rPr>
          <w:rFonts w:hint="eastAsia"/>
        </w:rPr>
        <w:t>1.2.9</w:t>
      </w:r>
      <w:r w:rsidRPr="00BD66FB">
        <w:rPr>
          <w:rFonts w:hint="eastAsia"/>
        </w:rPr>
        <w:t>工作温度：</w:t>
      </w:r>
      <w:r w:rsidRPr="00BD66FB">
        <w:rPr>
          <w:rFonts w:hint="eastAsia"/>
        </w:rPr>
        <w:t>4</w:t>
      </w:r>
      <w:r w:rsidRPr="00BD66FB">
        <w:rPr>
          <w:rFonts w:hint="eastAsia"/>
        </w:rPr>
        <w:t>℃～</w:t>
      </w:r>
      <w:r w:rsidRPr="00BD66FB">
        <w:rPr>
          <w:rFonts w:hint="eastAsia"/>
        </w:rPr>
        <w:t>40</w:t>
      </w:r>
      <w:r w:rsidRPr="00BD66FB">
        <w:rPr>
          <w:rFonts w:hint="eastAsia"/>
        </w:rPr>
        <w:t>℃</w:t>
      </w:r>
    </w:p>
    <w:p w:rsidR="00334D45" w:rsidRPr="00BD66FB" w:rsidRDefault="00334D45" w:rsidP="00334D45">
      <w:r w:rsidRPr="00BD66FB">
        <w:rPr>
          <w:rFonts w:hint="eastAsia"/>
        </w:rPr>
        <w:t>1.2.10</w:t>
      </w:r>
      <w:r w:rsidRPr="00BD66FB">
        <w:rPr>
          <w:rFonts w:hint="eastAsia"/>
        </w:rPr>
        <w:t>管路连接：</w:t>
      </w:r>
      <w:r w:rsidRPr="00BD66FB">
        <w:rPr>
          <w:rFonts w:hint="eastAsia"/>
        </w:rPr>
        <w:t>1.0mm</w:t>
      </w:r>
      <w:r w:rsidRPr="00BD66FB">
        <w:rPr>
          <w:rFonts w:hint="eastAsia"/>
        </w:rPr>
        <w:t>内径</w:t>
      </w:r>
    </w:p>
    <w:p w:rsidR="00334D45" w:rsidRPr="00BD66FB" w:rsidRDefault="00334D45" w:rsidP="00334D45">
      <w:r w:rsidRPr="00BD66FB">
        <w:rPr>
          <w:rFonts w:hint="eastAsia"/>
        </w:rPr>
        <w:t>1.2.11</w:t>
      </w:r>
      <w:r w:rsidRPr="00BD66FB">
        <w:rPr>
          <w:rFonts w:hint="eastAsia"/>
        </w:rPr>
        <w:t>废液排放：普通废液直接排放到水中；有毒废液分离收集在试剂舱外部的特制回收袋中。</w:t>
      </w:r>
    </w:p>
    <w:p w:rsidR="00334D45" w:rsidRPr="00BD66FB" w:rsidRDefault="00334D45" w:rsidP="00334D45">
      <w:r w:rsidRPr="00BD66FB">
        <w:rPr>
          <w:rFonts w:hint="eastAsia"/>
        </w:rPr>
        <w:t>管路清洗：纯水袋置于试剂舱外部，用于清洗内部管路及样品的稀释测量。</w:t>
      </w:r>
    </w:p>
    <w:p w:rsidR="00334D45" w:rsidRPr="00BD66FB" w:rsidRDefault="00334D45" w:rsidP="00334D45">
      <w:r w:rsidRPr="00BD66FB">
        <w:rPr>
          <w:rFonts w:hint="eastAsia"/>
        </w:rPr>
        <w:t>1.2.12</w:t>
      </w:r>
      <w:r w:rsidRPr="00BD66FB">
        <w:rPr>
          <w:rFonts w:hint="eastAsia"/>
        </w:rPr>
        <w:t>反应器：采用微环流反应器，试剂及标准液消耗量、废液量极低。</w:t>
      </w:r>
    </w:p>
    <w:p w:rsidR="00334D45" w:rsidRPr="00BD66FB" w:rsidRDefault="00334D45" w:rsidP="00334D45">
      <w:r w:rsidRPr="00BD66FB">
        <w:rPr>
          <w:rFonts w:hint="eastAsia"/>
          <w:b/>
        </w:rPr>
        <w:t>★</w:t>
      </w:r>
      <w:r w:rsidRPr="00BD66FB">
        <w:rPr>
          <w:rFonts w:hint="eastAsia"/>
        </w:rPr>
        <w:t>1.2.13</w:t>
      </w:r>
      <w:r w:rsidRPr="00BD66FB">
        <w:rPr>
          <w:rFonts w:hint="eastAsia"/>
        </w:rPr>
        <w:t>试剂筒：“插入式”试剂筒内装有可更换的试剂袋和校准液袋，方便现场快速更换维护需求。</w:t>
      </w:r>
    </w:p>
    <w:p w:rsidR="00334D45" w:rsidRPr="00BD66FB" w:rsidRDefault="00334D45" w:rsidP="00334D45">
      <w:r w:rsidRPr="00BD66FB">
        <w:rPr>
          <w:rFonts w:hint="eastAsia"/>
        </w:rPr>
        <w:t>1.2.14</w:t>
      </w:r>
      <w:r w:rsidRPr="00BD66FB">
        <w:rPr>
          <w:rFonts w:hint="eastAsia"/>
        </w:rPr>
        <w:t>数据输出：</w:t>
      </w:r>
      <w:r w:rsidRPr="00BD66FB">
        <w:rPr>
          <w:rFonts w:hint="eastAsia"/>
        </w:rPr>
        <w:t>RS232</w:t>
      </w:r>
      <w:r w:rsidRPr="00BD66FB">
        <w:rPr>
          <w:rFonts w:hint="eastAsia"/>
        </w:rPr>
        <w:t>串行接口</w:t>
      </w:r>
    </w:p>
    <w:p w:rsidR="00334D45" w:rsidRPr="00BD66FB" w:rsidRDefault="00334D45" w:rsidP="00334D45">
      <w:r w:rsidRPr="00BD66FB">
        <w:rPr>
          <w:rFonts w:hint="eastAsia"/>
        </w:rPr>
        <w:t>1.2.15</w:t>
      </w:r>
      <w:r w:rsidRPr="00BD66FB">
        <w:rPr>
          <w:rFonts w:hint="eastAsia"/>
        </w:rPr>
        <w:t>操控程序：通过外接便携电脑，由外部软件操控，可达到对设备的全功能操控。</w:t>
      </w:r>
    </w:p>
    <w:p w:rsidR="00334D45" w:rsidRPr="00BD66FB" w:rsidRDefault="00334D45" w:rsidP="00334D45">
      <w:r w:rsidRPr="00BD66FB">
        <w:rPr>
          <w:rFonts w:hint="eastAsia"/>
        </w:rPr>
        <w:t>1.2.16</w:t>
      </w:r>
      <w:r w:rsidRPr="00BD66FB">
        <w:rPr>
          <w:rFonts w:hint="eastAsia"/>
        </w:rPr>
        <w:t>外部接口：</w:t>
      </w:r>
      <w:r w:rsidRPr="00BD66FB">
        <w:rPr>
          <w:rFonts w:hint="eastAsia"/>
        </w:rPr>
        <w:t>6</w:t>
      </w:r>
      <w:r w:rsidRPr="00BD66FB">
        <w:rPr>
          <w:rFonts w:hint="eastAsia"/>
        </w:rPr>
        <w:t>针可浸没式电缆，用于数据通讯和</w:t>
      </w:r>
      <w:r w:rsidRPr="00BD66FB">
        <w:rPr>
          <w:rFonts w:hint="eastAsia"/>
        </w:rPr>
        <w:t>12V</w:t>
      </w:r>
      <w:r w:rsidRPr="00BD66FB">
        <w:rPr>
          <w:rFonts w:hint="eastAsia"/>
        </w:rPr>
        <w:t>的设备供电。</w:t>
      </w:r>
    </w:p>
    <w:p w:rsidR="00334D45" w:rsidRPr="00BD66FB" w:rsidRDefault="00334D45" w:rsidP="00334D45">
      <w:r w:rsidRPr="00BD66FB">
        <w:rPr>
          <w:rFonts w:hint="eastAsia"/>
        </w:rPr>
        <w:t>1.2.17</w:t>
      </w:r>
      <w:r w:rsidRPr="00BD66FB">
        <w:rPr>
          <w:rFonts w:hint="eastAsia"/>
        </w:rPr>
        <w:t>电源：</w:t>
      </w:r>
      <w:r w:rsidRPr="00BD66FB">
        <w:rPr>
          <w:rFonts w:hint="eastAsia"/>
        </w:rPr>
        <w:t>12V</w:t>
      </w:r>
      <w:r w:rsidRPr="00BD66FB">
        <w:rPr>
          <w:rFonts w:hint="eastAsia"/>
        </w:rPr>
        <w:t>，通过主连接电缆线供电。</w:t>
      </w:r>
    </w:p>
    <w:p w:rsidR="00334D45" w:rsidRPr="00BD66FB" w:rsidRDefault="00334D45" w:rsidP="00334D45">
      <w:r w:rsidRPr="00BD66FB">
        <w:rPr>
          <w:rFonts w:hint="eastAsia"/>
        </w:rPr>
        <w:t>1.2.18</w:t>
      </w:r>
      <w:r w:rsidRPr="00BD66FB">
        <w:rPr>
          <w:rFonts w:hint="eastAsia"/>
        </w:rPr>
        <w:t>能耗：能耗低，适用于浮标在线监测。</w:t>
      </w:r>
    </w:p>
    <w:p w:rsidR="00334D45" w:rsidRPr="00BD66FB" w:rsidRDefault="00334D45" w:rsidP="00334D45">
      <w:r w:rsidRPr="00BD66FB">
        <w:rPr>
          <w:rFonts w:hint="eastAsia"/>
        </w:rPr>
        <w:t>1.2.19</w:t>
      </w:r>
      <w:r w:rsidRPr="00BD66FB">
        <w:rPr>
          <w:rFonts w:hint="eastAsia"/>
        </w:rPr>
        <w:t>分析能力：</w:t>
      </w:r>
    </w:p>
    <w:p w:rsidR="00334D45" w:rsidRPr="00BD66FB" w:rsidRDefault="00334D45" w:rsidP="00334D45">
      <w:r w:rsidRPr="00BD66FB">
        <w:rPr>
          <w:rFonts w:hint="eastAsia"/>
        </w:rPr>
        <w:t>氨氮（</w:t>
      </w:r>
      <w:r w:rsidRPr="00BD66FB">
        <w:rPr>
          <w:rFonts w:hint="eastAsia"/>
        </w:rPr>
        <w:t>NH3</w:t>
      </w:r>
      <w:r w:rsidRPr="00BD66FB">
        <w:rPr>
          <w:rFonts w:hint="eastAsia"/>
        </w:rPr>
        <w:t>）</w:t>
      </w:r>
    </w:p>
    <w:p w:rsidR="00334D45" w:rsidRPr="00BD66FB" w:rsidRDefault="00334D45" w:rsidP="00334D45">
      <w:r w:rsidRPr="00BD66FB">
        <w:rPr>
          <w:rFonts w:hint="eastAsia"/>
        </w:rPr>
        <w:t>测量原理：</w:t>
      </w:r>
      <w:r w:rsidRPr="00BD66FB">
        <w:rPr>
          <w:rFonts w:hint="eastAsia"/>
        </w:rPr>
        <w:t>OPA</w:t>
      </w:r>
      <w:r w:rsidRPr="00BD66FB">
        <w:rPr>
          <w:rFonts w:hint="eastAsia"/>
        </w:rPr>
        <w:t>荧光法</w:t>
      </w:r>
    </w:p>
    <w:p w:rsidR="00334D45" w:rsidRPr="00BD66FB" w:rsidRDefault="00334D45" w:rsidP="00334D45">
      <w:r w:rsidRPr="00BD66FB">
        <w:rPr>
          <w:rFonts w:hint="eastAsia"/>
        </w:rPr>
        <w:t>测量周期：</w:t>
      </w:r>
      <w:r w:rsidRPr="00BD66FB">
        <w:rPr>
          <w:rFonts w:hint="eastAsia"/>
        </w:rPr>
        <w:t>15</w:t>
      </w:r>
      <w:r w:rsidRPr="00BD66FB">
        <w:rPr>
          <w:rFonts w:hint="eastAsia"/>
        </w:rPr>
        <w:t>分钟</w:t>
      </w:r>
    </w:p>
    <w:p w:rsidR="00334D45" w:rsidRPr="00BD66FB" w:rsidRDefault="00334D45" w:rsidP="00334D45">
      <w:r w:rsidRPr="00BD66FB">
        <w:rPr>
          <w:rFonts w:hint="eastAsia"/>
        </w:rPr>
        <w:t>测量范围：</w:t>
      </w:r>
      <w:r w:rsidRPr="00BD66FB">
        <w:rPr>
          <w:rFonts w:hint="eastAsia"/>
        </w:rPr>
        <w:t>0</w:t>
      </w:r>
      <w:r w:rsidRPr="00BD66FB">
        <w:rPr>
          <w:rFonts w:hint="eastAsia"/>
        </w:rPr>
        <w:t>～</w:t>
      </w:r>
      <w:r w:rsidRPr="00BD66FB">
        <w:rPr>
          <w:rFonts w:hint="eastAsia"/>
        </w:rPr>
        <w:t>0.5/1/2/5mg/L</w:t>
      </w:r>
      <w:r w:rsidRPr="00BD66FB">
        <w:rPr>
          <w:rFonts w:hint="eastAsia"/>
        </w:rPr>
        <w:t>其他范围可定制</w:t>
      </w:r>
    </w:p>
    <w:p w:rsidR="00334D45" w:rsidRPr="00BD66FB" w:rsidRDefault="00334D45" w:rsidP="00334D45">
      <w:r w:rsidRPr="00BD66FB">
        <w:rPr>
          <w:rFonts w:hint="eastAsia"/>
        </w:rPr>
        <w:t>测量误差：小于</w:t>
      </w:r>
      <w:r w:rsidRPr="00BD66FB">
        <w:rPr>
          <w:rFonts w:hint="eastAsia"/>
        </w:rPr>
        <w:t>10%</w:t>
      </w:r>
    </w:p>
    <w:p w:rsidR="00334D45" w:rsidRPr="00BD66FB" w:rsidRDefault="00334D45" w:rsidP="00334D45">
      <w:r w:rsidRPr="00BD66FB">
        <w:rPr>
          <w:rFonts w:hint="eastAsia"/>
        </w:rPr>
        <w:t>测量限值：小于量程</w:t>
      </w:r>
      <w:r w:rsidRPr="00BD66FB">
        <w:rPr>
          <w:rFonts w:hint="eastAsia"/>
        </w:rPr>
        <w:t>5%</w:t>
      </w:r>
    </w:p>
    <w:p w:rsidR="00334D45" w:rsidRPr="00BD66FB" w:rsidRDefault="00334D45" w:rsidP="00334D45">
      <w:r w:rsidRPr="00BD66FB">
        <w:rPr>
          <w:rFonts w:hint="eastAsia"/>
        </w:rPr>
        <w:t>硝氮（</w:t>
      </w:r>
      <w:r w:rsidRPr="00BD66FB">
        <w:rPr>
          <w:rFonts w:hint="eastAsia"/>
        </w:rPr>
        <w:t>NO3+NO2</w:t>
      </w:r>
      <w:r w:rsidRPr="00BD66FB">
        <w:rPr>
          <w:rFonts w:hint="eastAsia"/>
        </w:rPr>
        <w:t>）</w:t>
      </w:r>
    </w:p>
    <w:p w:rsidR="00334D45" w:rsidRPr="00BD66FB" w:rsidRDefault="00334D45" w:rsidP="00334D45">
      <w:r w:rsidRPr="00BD66FB">
        <w:rPr>
          <w:rFonts w:hint="eastAsia"/>
        </w:rPr>
        <w:t>测量原理：</w:t>
      </w:r>
      <w:r w:rsidRPr="00BD66FB">
        <w:rPr>
          <w:rFonts w:hint="eastAsia"/>
        </w:rPr>
        <w:t>UV</w:t>
      </w:r>
      <w:r w:rsidRPr="00BD66FB">
        <w:rPr>
          <w:rFonts w:hint="eastAsia"/>
        </w:rPr>
        <w:t>还原，</w:t>
      </w:r>
      <w:r w:rsidRPr="00BD66FB">
        <w:rPr>
          <w:rFonts w:hint="eastAsia"/>
        </w:rPr>
        <w:t>NED+SAA</w:t>
      </w:r>
      <w:r w:rsidRPr="00BD66FB">
        <w:rPr>
          <w:rFonts w:hint="eastAsia"/>
        </w:rPr>
        <w:t>比色法</w:t>
      </w:r>
    </w:p>
    <w:p w:rsidR="00334D45" w:rsidRPr="00BD66FB" w:rsidRDefault="00334D45" w:rsidP="00334D45">
      <w:r w:rsidRPr="00BD66FB">
        <w:rPr>
          <w:rFonts w:hint="eastAsia"/>
        </w:rPr>
        <w:t>测量周期：</w:t>
      </w:r>
      <w:r w:rsidRPr="00BD66FB">
        <w:rPr>
          <w:rFonts w:hint="eastAsia"/>
        </w:rPr>
        <w:t>15</w:t>
      </w:r>
      <w:r w:rsidRPr="00BD66FB">
        <w:rPr>
          <w:rFonts w:hint="eastAsia"/>
        </w:rPr>
        <w:t>分钟</w:t>
      </w:r>
    </w:p>
    <w:p w:rsidR="00334D45" w:rsidRPr="00BD66FB" w:rsidRDefault="00334D45" w:rsidP="00334D45">
      <w:r w:rsidRPr="00BD66FB">
        <w:rPr>
          <w:rFonts w:hint="eastAsia"/>
        </w:rPr>
        <w:lastRenderedPageBreak/>
        <w:t>测量范围：</w:t>
      </w:r>
      <w:r w:rsidRPr="00BD66FB">
        <w:rPr>
          <w:rFonts w:hint="eastAsia"/>
        </w:rPr>
        <w:t>0</w:t>
      </w:r>
      <w:r w:rsidRPr="00BD66FB">
        <w:rPr>
          <w:rFonts w:hint="eastAsia"/>
        </w:rPr>
        <w:t>～</w:t>
      </w:r>
      <w:r w:rsidRPr="00BD66FB">
        <w:rPr>
          <w:rFonts w:hint="eastAsia"/>
        </w:rPr>
        <w:t>0.5/1/5/10mg/L</w:t>
      </w:r>
      <w:r w:rsidRPr="00BD66FB">
        <w:rPr>
          <w:rFonts w:hint="eastAsia"/>
        </w:rPr>
        <w:t>其他范围可定制</w:t>
      </w:r>
    </w:p>
    <w:p w:rsidR="00334D45" w:rsidRPr="00BD66FB" w:rsidRDefault="00334D45" w:rsidP="00334D45">
      <w:r w:rsidRPr="00BD66FB">
        <w:rPr>
          <w:rFonts w:hint="eastAsia"/>
        </w:rPr>
        <w:t>测量误差：小于</w:t>
      </w:r>
      <w:r w:rsidRPr="00BD66FB">
        <w:rPr>
          <w:rFonts w:hint="eastAsia"/>
        </w:rPr>
        <w:t>10%</w:t>
      </w:r>
    </w:p>
    <w:p w:rsidR="00334D45" w:rsidRPr="00BD66FB" w:rsidRDefault="00334D45" w:rsidP="00334D45">
      <w:r w:rsidRPr="00BD66FB">
        <w:rPr>
          <w:rFonts w:hint="eastAsia"/>
        </w:rPr>
        <w:t>测量限值：小于量程</w:t>
      </w:r>
      <w:r w:rsidRPr="00BD66FB">
        <w:rPr>
          <w:rFonts w:hint="eastAsia"/>
        </w:rPr>
        <w:t>3%</w:t>
      </w:r>
    </w:p>
    <w:p w:rsidR="00334D45" w:rsidRPr="00BD66FB" w:rsidRDefault="00334D45" w:rsidP="00334D45">
      <w:r w:rsidRPr="00BD66FB">
        <w:rPr>
          <w:rFonts w:hint="eastAsia"/>
        </w:rPr>
        <w:t>亚硝氮（</w:t>
      </w:r>
      <w:r w:rsidRPr="00BD66FB">
        <w:rPr>
          <w:rFonts w:hint="eastAsia"/>
        </w:rPr>
        <w:t>NO2</w:t>
      </w:r>
      <w:r w:rsidRPr="00BD66FB">
        <w:rPr>
          <w:rFonts w:hint="eastAsia"/>
        </w:rPr>
        <w:t>）</w:t>
      </w:r>
    </w:p>
    <w:p w:rsidR="00334D45" w:rsidRPr="00BD66FB" w:rsidRDefault="00334D45" w:rsidP="00334D45">
      <w:r w:rsidRPr="00BD66FB">
        <w:rPr>
          <w:rFonts w:hint="eastAsia"/>
        </w:rPr>
        <w:t>测量原理：</w:t>
      </w:r>
      <w:r w:rsidRPr="00BD66FB">
        <w:rPr>
          <w:rFonts w:hint="eastAsia"/>
        </w:rPr>
        <w:t>NED+SAA</w:t>
      </w:r>
      <w:r w:rsidRPr="00BD66FB">
        <w:rPr>
          <w:rFonts w:hint="eastAsia"/>
        </w:rPr>
        <w:t>比色法</w:t>
      </w:r>
    </w:p>
    <w:p w:rsidR="00334D45" w:rsidRPr="00BD66FB" w:rsidRDefault="00334D45" w:rsidP="00334D45">
      <w:r w:rsidRPr="00BD66FB">
        <w:rPr>
          <w:rFonts w:hint="eastAsia"/>
        </w:rPr>
        <w:t>测量周期：</w:t>
      </w:r>
      <w:r w:rsidRPr="00BD66FB">
        <w:rPr>
          <w:rFonts w:hint="eastAsia"/>
        </w:rPr>
        <w:t>10</w:t>
      </w:r>
      <w:r w:rsidRPr="00BD66FB">
        <w:rPr>
          <w:rFonts w:hint="eastAsia"/>
        </w:rPr>
        <w:t>分钟</w:t>
      </w:r>
    </w:p>
    <w:p w:rsidR="00334D45" w:rsidRPr="00BD66FB" w:rsidRDefault="00334D45" w:rsidP="00334D45">
      <w:r w:rsidRPr="00BD66FB">
        <w:rPr>
          <w:rFonts w:hint="eastAsia"/>
        </w:rPr>
        <w:t>测量范围：</w:t>
      </w:r>
      <w:r w:rsidRPr="00BD66FB">
        <w:rPr>
          <w:rFonts w:hint="eastAsia"/>
        </w:rPr>
        <w:t>0</w:t>
      </w:r>
      <w:r w:rsidRPr="00BD66FB">
        <w:rPr>
          <w:rFonts w:hint="eastAsia"/>
        </w:rPr>
        <w:t>～</w:t>
      </w:r>
      <w:r w:rsidRPr="00BD66FB">
        <w:rPr>
          <w:rFonts w:hint="eastAsia"/>
        </w:rPr>
        <w:t>0.1/0.2/0.5mg/L</w:t>
      </w:r>
      <w:r w:rsidRPr="00BD66FB">
        <w:rPr>
          <w:rFonts w:hint="eastAsia"/>
        </w:rPr>
        <w:t>其他范围可定制</w:t>
      </w:r>
    </w:p>
    <w:p w:rsidR="00334D45" w:rsidRPr="00BD66FB" w:rsidRDefault="00334D45" w:rsidP="00334D45">
      <w:r w:rsidRPr="00BD66FB">
        <w:rPr>
          <w:rFonts w:hint="eastAsia"/>
        </w:rPr>
        <w:t>测量误差：小于</w:t>
      </w:r>
      <w:r w:rsidRPr="00BD66FB">
        <w:rPr>
          <w:rFonts w:hint="eastAsia"/>
        </w:rPr>
        <w:t>10%</w:t>
      </w:r>
    </w:p>
    <w:p w:rsidR="00334D45" w:rsidRPr="00BD66FB" w:rsidRDefault="00334D45" w:rsidP="00334D45">
      <w:r w:rsidRPr="00BD66FB">
        <w:rPr>
          <w:rFonts w:hint="eastAsia"/>
        </w:rPr>
        <w:t>测量限值：小于量程</w:t>
      </w:r>
      <w:r w:rsidRPr="00BD66FB">
        <w:rPr>
          <w:rFonts w:hint="eastAsia"/>
        </w:rPr>
        <w:t>2%</w:t>
      </w:r>
    </w:p>
    <w:p w:rsidR="00334D45" w:rsidRPr="00BD66FB" w:rsidRDefault="00334D45" w:rsidP="00334D45">
      <w:r w:rsidRPr="00BD66FB">
        <w:rPr>
          <w:rFonts w:hint="eastAsia"/>
        </w:rPr>
        <w:t>磷酸盐（</w:t>
      </w:r>
      <w:r w:rsidRPr="00BD66FB">
        <w:rPr>
          <w:rFonts w:hint="eastAsia"/>
        </w:rPr>
        <w:t>PO4</w:t>
      </w:r>
      <w:r w:rsidRPr="00BD66FB">
        <w:rPr>
          <w:rFonts w:hint="eastAsia"/>
        </w:rPr>
        <w:t>）</w:t>
      </w:r>
    </w:p>
    <w:p w:rsidR="00334D45" w:rsidRPr="00BD66FB" w:rsidRDefault="00334D45" w:rsidP="00334D45">
      <w:r w:rsidRPr="00BD66FB">
        <w:rPr>
          <w:rFonts w:hint="eastAsia"/>
        </w:rPr>
        <w:t>测量原理：</w:t>
      </w:r>
      <w:proofErr w:type="gramStart"/>
      <w:r w:rsidRPr="00BD66FB">
        <w:rPr>
          <w:rFonts w:hint="eastAsia"/>
        </w:rPr>
        <w:t>钼</w:t>
      </w:r>
      <w:proofErr w:type="gramEnd"/>
      <w:r w:rsidRPr="00BD66FB">
        <w:rPr>
          <w:rFonts w:hint="eastAsia"/>
        </w:rPr>
        <w:t>蓝分光光度法</w:t>
      </w:r>
    </w:p>
    <w:p w:rsidR="00334D45" w:rsidRPr="00BD66FB" w:rsidRDefault="00334D45" w:rsidP="00334D45">
      <w:r w:rsidRPr="00BD66FB">
        <w:rPr>
          <w:rFonts w:hint="eastAsia"/>
        </w:rPr>
        <w:t>测量周期：</w:t>
      </w:r>
      <w:r w:rsidRPr="00BD66FB">
        <w:rPr>
          <w:rFonts w:hint="eastAsia"/>
        </w:rPr>
        <w:t>10</w:t>
      </w:r>
      <w:r w:rsidRPr="00BD66FB">
        <w:rPr>
          <w:rFonts w:hint="eastAsia"/>
        </w:rPr>
        <w:t>分钟</w:t>
      </w:r>
    </w:p>
    <w:p w:rsidR="00334D45" w:rsidRPr="00BD66FB" w:rsidRDefault="00334D45" w:rsidP="00334D45">
      <w:r w:rsidRPr="00BD66FB">
        <w:rPr>
          <w:rFonts w:hint="eastAsia"/>
        </w:rPr>
        <w:t>测量范围：</w:t>
      </w:r>
      <w:r w:rsidRPr="00BD66FB">
        <w:rPr>
          <w:rFonts w:hint="eastAsia"/>
        </w:rPr>
        <w:t>0</w:t>
      </w:r>
      <w:r w:rsidRPr="00BD66FB">
        <w:rPr>
          <w:rFonts w:hint="eastAsia"/>
        </w:rPr>
        <w:t>～</w:t>
      </w:r>
      <w:r w:rsidRPr="00BD66FB">
        <w:rPr>
          <w:rFonts w:hint="eastAsia"/>
        </w:rPr>
        <w:t>0.5/1/2/5mg/L</w:t>
      </w:r>
      <w:r w:rsidRPr="00BD66FB">
        <w:rPr>
          <w:rFonts w:hint="eastAsia"/>
        </w:rPr>
        <w:t>其他范围可定制</w:t>
      </w:r>
    </w:p>
    <w:p w:rsidR="00334D45" w:rsidRPr="00BD66FB" w:rsidRDefault="00334D45" w:rsidP="00334D45">
      <w:r w:rsidRPr="00BD66FB">
        <w:rPr>
          <w:rFonts w:hint="eastAsia"/>
        </w:rPr>
        <w:t>测量误差：小于</w:t>
      </w:r>
      <w:r w:rsidRPr="00BD66FB">
        <w:rPr>
          <w:rFonts w:hint="eastAsia"/>
        </w:rPr>
        <w:t>10%</w:t>
      </w:r>
    </w:p>
    <w:p w:rsidR="00334D45" w:rsidRDefault="00334D45" w:rsidP="00334D45">
      <w:pPr>
        <w:rPr>
          <w:rFonts w:hint="eastAsia"/>
        </w:rPr>
      </w:pPr>
      <w:r w:rsidRPr="00BD66FB">
        <w:rPr>
          <w:rFonts w:hint="eastAsia"/>
        </w:rPr>
        <w:t>测量限值：小于量程</w:t>
      </w:r>
      <w:r w:rsidRPr="00BD66FB">
        <w:rPr>
          <w:rFonts w:hint="eastAsia"/>
        </w:rPr>
        <w:t>2%</w:t>
      </w:r>
    </w:p>
    <w:p w:rsidR="00334D45" w:rsidRPr="00BD66FB" w:rsidRDefault="00334D45" w:rsidP="00334D45"/>
    <w:p w:rsidR="00334D45" w:rsidRPr="00BD66FB" w:rsidRDefault="00334D45" w:rsidP="00334D45">
      <w:pPr>
        <w:rPr>
          <w:b/>
          <w:bCs/>
        </w:rPr>
      </w:pPr>
      <w:r w:rsidRPr="00BD66FB">
        <w:rPr>
          <w:rFonts w:hint="eastAsia"/>
          <w:b/>
          <w:bCs/>
        </w:rPr>
        <w:t>2</w:t>
      </w:r>
      <w:r>
        <w:rPr>
          <w:rFonts w:hint="eastAsia"/>
          <w:b/>
          <w:bCs/>
        </w:rPr>
        <w:t>.</w:t>
      </w:r>
      <w:r w:rsidRPr="00BD66FB">
        <w:rPr>
          <w:rFonts w:hint="eastAsia"/>
          <w:b/>
          <w:bCs/>
        </w:rPr>
        <w:t>北斗通讯系统改造</w:t>
      </w:r>
      <w:r w:rsidRPr="00BD66FB">
        <w:rPr>
          <w:rFonts w:hint="eastAsia"/>
          <w:b/>
          <w:bCs/>
        </w:rPr>
        <w:t>1</w:t>
      </w:r>
      <w:r w:rsidRPr="00BD66FB">
        <w:rPr>
          <w:rFonts w:hint="eastAsia"/>
          <w:b/>
          <w:bCs/>
        </w:rPr>
        <w:t>项</w:t>
      </w:r>
    </w:p>
    <w:p w:rsidR="00334D45" w:rsidRPr="00BD66FB" w:rsidRDefault="00334D45" w:rsidP="00334D45">
      <w:pPr>
        <w:rPr>
          <w:b/>
        </w:rPr>
      </w:pPr>
      <w:r w:rsidRPr="00BD66FB">
        <w:rPr>
          <w:rFonts w:hint="eastAsia"/>
          <w:b/>
        </w:rPr>
        <w:t xml:space="preserve">2.1 </w:t>
      </w:r>
      <w:r w:rsidRPr="00BD66FB">
        <w:rPr>
          <w:rFonts w:hint="eastAsia"/>
          <w:b/>
        </w:rPr>
        <w:t>主要配置要求</w:t>
      </w:r>
    </w:p>
    <w:p w:rsidR="00334D45" w:rsidRPr="00BD66FB" w:rsidRDefault="00334D45" w:rsidP="00334D45">
      <w:r w:rsidRPr="00BD66FB">
        <w:rPr>
          <w:rFonts w:hint="eastAsia"/>
        </w:rPr>
        <w:t>2.1.1</w:t>
      </w:r>
      <w:r w:rsidRPr="00BD66FB">
        <w:rPr>
          <w:rFonts w:hint="eastAsia"/>
        </w:rPr>
        <w:t>电子控制舱改造</w:t>
      </w:r>
    </w:p>
    <w:p w:rsidR="00334D45" w:rsidRPr="00BD66FB" w:rsidRDefault="00334D45" w:rsidP="00334D45">
      <w:r w:rsidRPr="00BD66FB">
        <w:rPr>
          <w:rFonts w:hint="eastAsia"/>
        </w:rPr>
        <w:t xml:space="preserve">2.1.2 </w:t>
      </w:r>
      <w:proofErr w:type="gramStart"/>
      <w:r w:rsidRPr="00BD66FB">
        <w:rPr>
          <w:rFonts w:hint="eastAsia"/>
        </w:rPr>
        <w:t>数采软件</w:t>
      </w:r>
      <w:proofErr w:type="gramEnd"/>
      <w:r w:rsidRPr="00BD66FB">
        <w:rPr>
          <w:rFonts w:hint="eastAsia"/>
        </w:rPr>
        <w:t>改写</w:t>
      </w:r>
    </w:p>
    <w:p w:rsidR="00334D45" w:rsidRPr="00BD66FB" w:rsidRDefault="00334D45" w:rsidP="00334D45">
      <w:r w:rsidRPr="00BD66FB">
        <w:rPr>
          <w:rFonts w:hint="eastAsia"/>
        </w:rPr>
        <w:t>2.1.3</w:t>
      </w:r>
      <w:r w:rsidRPr="00BD66FB">
        <w:rPr>
          <w:rFonts w:hint="eastAsia"/>
        </w:rPr>
        <w:t>北斗通讯传输装置加装</w:t>
      </w:r>
    </w:p>
    <w:p w:rsidR="00334D45" w:rsidRPr="00BD66FB" w:rsidRDefault="00334D45" w:rsidP="00334D45">
      <w:pPr>
        <w:rPr>
          <w:b/>
        </w:rPr>
      </w:pPr>
      <w:r w:rsidRPr="00BD66FB">
        <w:rPr>
          <w:rFonts w:hint="eastAsia"/>
          <w:b/>
        </w:rPr>
        <w:t>2.2</w:t>
      </w:r>
      <w:r w:rsidRPr="00BD66FB">
        <w:rPr>
          <w:rFonts w:hint="eastAsia"/>
          <w:b/>
        </w:rPr>
        <w:t>技术性能参数</w:t>
      </w:r>
    </w:p>
    <w:p w:rsidR="00334D45" w:rsidRPr="00BD66FB" w:rsidRDefault="00334D45" w:rsidP="00334D45">
      <w:r w:rsidRPr="00BD66FB">
        <w:rPr>
          <w:rFonts w:hint="eastAsia"/>
          <w:b/>
        </w:rPr>
        <w:t>★</w:t>
      </w:r>
      <w:r w:rsidRPr="00BD66FB">
        <w:rPr>
          <w:rFonts w:hint="eastAsia"/>
        </w:rPr>
        <w:t xml:space="preserve">2.2.1 </w:t>
      </w:r>
      <w:r w:rsidRPr="00BD66FB">
        <w:rPr>
          <w:rFonts w:hint="eastAsia"/>
        </w:rPr>
        <w:t>对</w:t>
      </w:r>
      <w:r w:rsidRPr="00BD66FB">
        <w:rPr>
          <w:rFonts w:hint="eastAsia"/>
        </w:rPr>
        <w:t>1</w:t>
      </w:r>
      <w:r w:rsidRPr="00BD66FB">
        <w:rPr>
          <w:rFonts w:hint="eastAsia"/>
        </w:rPr>
        <w:t>套海洋生态监测浮标（杨梅坑浮标）上原有电子控制舱进行改造，增加北斗通讯模块和接口。</w:t>
      </w:r>
    </w:p>
    <w:p w:rsidR="00334D45" w:rsidRPr="00BD66FB" w:rsidRDefault="00334D45" w:rsidP="00334D45">
      <w:r w:rsidRPr="00BD66FB">
        <w:rPr>
          <w:rFonts w:hint="eastAsia"/>
        </w:rPr>
        <w:t xml:space="preserve">2.2.2 </w:t>
      </w:r>
      <w:r w:rsidRPr="00BD66FB">
        <w:rPr>
          <w:rFonts w:hint="eastAsia"/>
        </w:rPr>
        <w:t>对数据采集传输软件进行重新改写，除</w:t>
      </w:r>
      <w:r w:rsidRPr="00BD66FB">
        <w:rPr>
          <w:rFonts w:hint="eastAsia"/>
        </w:rPr>
        <w:t>GPRS</w:t>
      </w:r>
      <w:r w:rsidRPr="00BD66FB">
        <w:rPr>
          <w:rFonts w:hint="eastAsia"/>
        </w:rPr>
        <w:t>传输方式外，另外增加北斗传输方式，形成更安全可靠的双传输模式。</w:t>
      </w:r>
    </w:p>
    <w:p w:rsidR="00334D45" w:rsidRPr="00BD66FB" w:rsidRDefault="00334D45" w:rsidP="00334D45">
      <w:r w:rsidRPr="00BD66FB">
        <w:rPr>
          <w:rFonts w:hint="eastAsia"/>
        </w:rPr>
        <w:t xml:space="preserve">2.2.3 </w:t>
      </w:r>
      <w:r w:rsidRPr="00BD66FB">
        <w:rPr>
          <w:rFonts w:hint="eastAsia"/>
        </w:rPr>
        <w:t>北斗终端采用小型低功耗终端，可方便安装与集成；北斗终端安装后可实现与</w:t>
      </w:r>
      <w:r w:rsidRPr="00BD66FB">
        <w:rPr>
          <w:rFonts w:hint="eastAsia"/>
        </w:rPr>
        <w:t>GPRS</w:t>
      </w:r>
      <w:r w:rsidRPr="00BD66FB">
        <w:rPr>
          <w:rFonts w:hint="eastAsia"/>
        </w:rPr>
        <w:t>传输方式协同工作，一用</w:t>
      </w:r>
      <w:proofErr w:type="gramStart"/>
      <w:r w:rsidRPr="00BD66FB">
        <w:rPr>
          <w:rFonts w:hint="eastAsia"/>
        </w:rPr>
        <w:t>一</w:t>
      </w:r>
      <w:proofErr w:type="gramEnd"/>
      <w:r w:rsidRPr="00BD66FB">
        <w:rPr>
          <w:rFonts w:hint="eastAsia"/>
        </w:rPr>
        <w:t>备。</w:t>
      </w:r>
    </w:p>
    <w:p w:rsidR="00334D45" w:rsidRPr="00BD66FB" w:rsidRDefault="00334D45" w:rsidP="00334D45">
      <w:r w:rsidRPr="00BD66FB">
        <w:rPr>
          <w:rFonts w:hint="eastAsia"/>
        </w:rPr>
        <w:t>2.2.4</w:t>
      </w:r>
      <w:r w:rsidRPr="00BD66FB">
        <w:rPr>
          <w:rFonts w:hint="eastAsia"/>
        </w:rPr>
        <w:t>完善浮标端发送程序和岸上接收程序，实现营养盐、水质、气象等在线监测数据的传输与展示。</w:t>
      </w:r>
    </w:p>
    <w:p w:rsidR="00334D45" w:rsidRDefault="00334D45" w:rsidP="00334D45">
      <w:pPr>
        <w:rPr>
          <w:rFonts w:hint="eastAsia"/>
        </w:rPr>
      </w:pPr>
      <w:r w:rsidRPr="00BD66FB">
        <w:rPr>
          <w:rFonts w:hint="eastAsia"/>
        </w:rPr>
        <w:t xml:space="preserve">2.2.5 </w:t>
      </w:r>
      <w:r w:rsidRPr="00BD66FB">
        <w:rPr>
          <w:rFonts w:hint="eastAsia"/>
        </w:rPr>
        <w:t>根据改造需要而定，进行浮标的回收和布放。</w:t>
      </w:r>
    </w:p>
    <w:p w:rsidR="00334D45" w:rsidRDefault="00334D45" w:rsidP="00334D45">
      <w:pPr>
        <w:rPr>
          <w:rFonts w:hint="eastAsia"/>
        </w:rPr>
      </w:pPr>
    </w:p>
    <w:p w:rsidR="00334D45" w:rsidRPr="00BD66FB" w:rsidRDefault="00334D45" w:rsidP="00334D45">
      <w:pPr>
        <w:rPr>
          <w:rFonts w:ascii="Times New Roman" w:hAnsi="Times New Roman"/>
        </w:rPr>
      </w:pPr>
      <w:r w:rsidRPr="00BD66FB">
        <w:rPr>
          <w:rFonts w:ascii="Times New Roman" w:hAnsi="Times New Roman"/>
        </w:rPr>
        <w:t>注：加注</w:t>
      </w:r>
      <w:r w:rsidRPr="00BD66FB">
        <w:rPr>
          <w:rFonts w:ascii="Times New Roman" w:hAnsi="Times New Roman"/>
        </w:rPr>
        <w:t>“</w:t>
      </w:r>
      <w:r w:rsidRPr="00BD66FB">
        <w:rPr>
          <w:rFonts w:ascii="宋体" w:hAnsi="宋体" w:cs="宋体" w:hint="eastAsia"/>
        </w:rPr>
        <w:t>★</w:t>
      </w:r>
      <w:r w:rsidRPr="00BD66FB">
        <w:rPr>
          <w:rFonts w:ascii="Times New Roman" w:hAnsi="Times New Roman"/>
        </w:rPr>
        <w:t>”</w:t>
      </w:r>
      <w:r w:rsidRPr="00BD66FB">
        <w:rPr>
          <w:rFonts w:ascii="Times New Roman" w:hAnsi="Times New Roman"/>
        </w:rPr>
        <w:t>的参数为重要条款，</w:t>
      </w:r>
      <w:proofErr w:type="gramStart"/>
      <w:r w:rsidRPr="00BD66FB">
        <w:rPr>
          <w:rFonts w:ascii="Times New Roman" w:hAnsi="Times New Roman"/>
        </w:rPr>
        <w:t>非废标条款</w:t>
      </w:r>
      <w:proofErr w:type="gramEnd"/>
      <w:r w:rsidRPr="00BD66FB">
        <w:rPr>
          <w:rFonts w:ascii="Times New Roman" w:hAnsi="Times New Roman"/>
        </w:rPr>
        <w:t>，负偏离不会导致废标。</w:t>
      </w:r>
    </w:p>
    <w:p w:rsidR="00334D45" w:rsidRPr="00BD66FB" w:rsidRDefault="00334D45" w:rsidP="00334D45">
      <w:pPr>
        <w:rPr>
          <w:rFonts w:ascii="Times New Roman" w:hAnsi="Times New Roman" w:hint="eastAsia"/>
        </w:rPr>
      </w:pPr>
    </w:p>
    <w:p w:rsidR="00334D45" w:rsidRDefault="00334D45" w:rsidP="00334D45">
      <w:pPr>
        <w:pStyle w:val="2"/>
        <w:spacing w:beforeLines="50" w:afterLines="50"/>
        <w:rPr>
          <w:rFonts w:ascii="Times New Roman" w:hAnsi="Times New Roman"/>
          <w:sz w:val="30"/>
          <w:szCs w:val="30"/>
        </w:rPr>
      </w:pPr>
      <w:r>
        <w:rPr>
          <w:rFonts w:ascii="Times New Roman" w:hAnsi="Times New Roman" w:hint="eastAsia"/>
          <w:sz w:val="30"/>
          <w:szCs w:val="30"/>
          <w:lang w:eastAsia="zh-CN"/>
        </w:rPr>
        <w:t>五</w:t>
      </w:r>
      <w:r>
        <w:rPr>
          <w:rFonts w:ascii="Times New Roman" w:hAnsi="Times New Roman"/>
          <w:sz w:val="30"/>
          <w:szCs w:val="30"/>
        </w:rPr>
        <w:t>、</w:t>
      </w:r>
      <w:proofErr w:type="spellStart"/>
      <w:r>
        <w:rPr>
          <w:rFonts w:ascii="Times New Roman" w:hAnsi="Times New Roman"/>
          <w:sz w:val="30"/>
          <w:szCs w:val="30"/>
        </w:rPr>
        <w:t>商务需求</w:t>
      </w:r>
      <w:proofErr w:type="spellEnd"/>
    </w:p>
    <w:p w:rsidR="00334D45" w:rsidRDefault="00334D45" w:rsidP="00334D45">
      <w:pPr>
        <w:rPr>
          <w:rFonts w:ascii="Times New Roman" w:hAnsi="Times New Roman" w:hint="eastAsia"/>
          <w:b/>
        </w:rPr>
      </w:pPr>
    </w:p>
    <w:p w:rsidR="00334D45" w:rsidRPr="00DB5427" w:rsidRDefault="00334D45" w:rsidP="00334D45">
      <w:pPr>
        <w:numPr>
          <w:ilvl w:val="0"/>
          <w:numId w:val="3"/>
        </w:numPr>
        <w:rPr>
          <w:color w:val="000000"/>
        </w:rPr>
      </w:pPr>
      <w:r w:rsidRPr="00DB5427">
        <w:rPr>
          <w:rFonts w:hint="eastAsia"/>
          <w:color w:val="000000"/>
        </w:rPr>
        <w:t>交货期：本项目完工时间为合同签订后</w:t>
      </w:r>
      <w:r w:rsidRPr="00DB5427">
        <w:rPr>
          <w:rFonts w:hint="eastAsia"/>
          <w:color w:val="000000"/>
        </w:rPr>
        <w:t>3</w:t>
      </w:r>
      <w:r w:rsidRPr="00DB5427">
        <w:rPr>
          <w:rFonts w:hint="eastAsia"/>
          <w:color w:val="000000"/>
        </w:rPr>
        <w:t>个月内。</w:t>
      </w:r>
    </w:p>
    <w:p w:rsidR="00334D45" w:rsidRPr="00BD66FB" w:rsidRDefault="00334D45" w:rsidP="00334D45">
      <w:pPr>
        <w:numPr>
          <w:ilvl w:val="0"/>
          <w:numId w:val="3"/>
        </w:numPr>
      </w:pPr>
      <w:r w:rsidRPr="00DB5427">
        <w:rPr>
          <w:rFonts w:hint="eastAsia"/>
          <w:color w:val="000000"/>
        </w:rPr>
        <w:t>售后服务：中标人须对所提供的设备提供</w:t>
      </w:r>
      <w:r w:rsidRPr="00DB5427">
        <w:rPr>
          <w:rFonts w:hint="eastAsia"/>
          <w:color w:val="000000"/>
        </w:rPr>
        <w:t>1</w:t>
      </w:r>
      <w:r w:rsidRPr="00DB5427">
        <w:rPr>
          <w:rFonts w:hint="eastAsia"/>
          <w:color w:val="000000"/>
        </w:rPr>
        <w:t>年质保期，时</w:t>
      </w:r>
      <w:r w:rsidRPr="00BD66FB">
        <w:rPr>
          <w:rFonts w:hint="eastAsia"/>
        </w:rPr>
        <w:t>间从设备验收合格、采购人接受使用之日算起。并提供终身维修。质保期内的工作应包括设备的免费维修和保养等工作，投标人须负责修理和替换任何由于设备自身的质量问题造成的损坏及故障，所发生的费用由投标人承担。</w:t>
      </w:r>
    </w:p>
    <w:p w:rsidR="00334D45" w:rsidRPr="00BD66FB" w:rsidRDefault="00334D45" w:rsidP="00334D45">
      <w:pPr>
        <w:numPr>
          <w:ilvl w:val="0"/>
          <w:numId w:val="3"/>
        </w:numPr>
      </w:pPr>
      <w:r w:rsidRPr="00BD66FB">
        <w:rPr>
          <w:rFonts w:hint="eastAsia"/>
        </w:rPr>
        <w:t>投标人必须提供开展相关配件更换和通讯系统改造工作所需的人员、场所、车船、试剂</w:t>
      </w:r>
      <w:r w:rsidRPr="00BD66FB">
        <w:rPr>
          <w:rFonts w:hint="eastAsia"/>
        </w:rPr>
        <w:lastRenderedPageBreak/>
        <w:t>耗材及其他必需条件，并承担有关费用。</w:t>
      </w:r>
    </w:p>
    <w:p w:rsidR="00334D45" w:rsidRPr="00BD66FB" w:rsidRDefault="00334D45" w:rsidP="00334D45">
      <w:pPr>
        <w:numPr>
          <w:ilvl w:val="0"/>
          <w:numId w:val="3"/>
        </w:numPr>
      </w:pPr>
      <w:r w:rsidRPr="00BD66FB">
        <w:rPr>
          <w:rFonts w:hint="eastAsia"/>
        </w:rPr>
        <w:t>投标人应在深圳设有维护校准实验室及维修中心，要有专职的维护维修工程师和备品备件库，长期提供浮标正常运行所需备品备件和耗材。</w:t>
      </w:r>
    </w:p>
    <w:p w:rsidR="00334D45" w:rsidRPr="00BD66FB" w:rsidRDefault="00334D45" w:rsidP="00334D45">
      <w:pPr>
        <w:numPr>
          <w:ilvl w:val="0"/>
          <w:numId w:val="3"/>
        </w:numPr>
      </w:pPr>
      <w:r w:rsidRPr="00BD66FB">
        <w:rPr>
          <w:rFonts w:hint="eastAsia"/>
        </w:rPr>
        <w:t>投标人应能长期提供浮标正常运行所需配件、耗材及维修服务。</w:t>
      </w:r>
    </w:p>
    <w:p w:rsidR="00334D45" w:rsidRPr="00BD66FB" w:rsidRDefault="00334D45" w:rsidP="00334D45">
      <w:pPr>
        <w:numPr>
          <w:ilvl w:val="0"/>
          <w:numId w:val="3"/>
        </w:numPr>
      </w:pPr>
      <w:r w:rsidRPr="00BD66FB">
        <w:rPr>
          <w:rFonts w:hint="eastAsia"/>
        </w:rPr>
        <w:t>要求投标人在深圳设有长期技术支持服务站，有专人负责对浮标系统及在线仪器设备提供现场技术服务；熟悉深圳海域环境状况、具有</w:t>
      </w:r>
      <w:r w:rsidRPr="00BD66FB">
        <w:rPr>
          <w:rFonts w:hint="eastAsia"/>
        </w:rPr>
        <w:t>5</w:t>
      </w:r>
      <w:r w:rsidRPr="00BD66FB">
        <w:rPr>
          <w:rFonts w:hint="eastAsia"/>
        </w:rPr>
        <w:t>年以上海域海洋监测浮标现场维护经验。</w:t>
      </w:r>
    </w:p>
    <w:p w:rsidR="00334D45" w:rsidRPr="00BD66FB" w:rsidRDefault="00334D45" w:rsidP="00334D45">
      <w:pPr>
        <w:numPr>
          <w:ilvl w:val="0"/>
          <w:numId w:val="3"/>
        </w:numPr>
      </w:pPr>
      <w:r w:rsidRPr="00BD66FB">
        <w:rPr>
          <w:rFonts w:hint="eastAsia"/>
        </w:rPr>
        <w:t>要求投标人要有专职的软件工程师，能对北斗传输和接收程序进行更新，并持续解决通讯问题。</w:t>
      </w:r>
    </w:p>
    <w:p w:rsidR="00334D45" w:rsidRPr="00BD66FB" w:rsidRDefault="00334D45" w:rsidP="00334D45">
      <w:pPr>
        <w:numPr>
          <w:ilvl w:val="0"/>
          <w:numId w:val="3"/>
        </w:numPr>
      </w:pPr>
      <w:r w:rsidRPr="00BD66FB">
        <w:rPr>
          <w:rFonts w:hint="eastAsia"/>
        </w:rPr>
        <w:t>当浮标出现任何运行异常时，投标人需提供</w:t>
      </w:r>
      <w:r w:rsidRPr="00BD66FB">
        <w:rPr>
          <w:rFonts w:hint="eastAsia"/>
        </w:rPr>
        <w:t>24</w:t>
      </w:r>
      <w:r w:rsidRPr="00BD66FB">
        <w:rPr>
          <w:rFonts w:hint="eastAsia"/>
        </w:rPr>
        <w:t>小时电话咨询，如问题无法解决，投标人须在接到买方通知后</w:t>
      </w:r>
      <w:r w:rsidRPr="00BD66FB">
        <w:rPr>
          <w:rFonts w:hint="eastAsia"/>
        </w:rPr>
        <w:t>2</w:t>
      </w:r>
      <w:r w:rsidRPr="00BD66FB">
        <w:rPr>
          <w:rFonts w:hint="eastAsia"/>
        </w:rPr>
        <w:t>小时内派员到现场解决。</w:t>
      </w:r>
    </w:p>
    <w:p w:rsidR="00334D45" w:rsidRPr="00BD66FB" w:rsidRDefault="00334D45" w:rsidP="00334D45">
      <w:pPr>
        <w:numPr>
          <w:ilvl w:val="0"/>
          <w:numId w:val="3"/>
        </w:numPr>
      </w:pPr>
      <w:r w:rsidRPr="00BD66FB">
        <w:rPr>
          <w:rFonts w:hint="eastAsia"/>
        </w:rPr>
        <w:t>要求投标人在投标文件中提供完善的浮标北斗通讯升级方案等。</w:t>
      </w:r>
    </w:p>
    <w:p w:rsidR="00334D45" w:rsidRPr="00BD66FB" w:rsidRDefault="00334D45" w:rsidP="00334D45">
      <w:pPr>
        <w:numPr>
          <w:ilvl w:val="0"/>
          <w:numId w:val="3"/>
        </w:numPr>
      </w:pPr>
      <w:r w:rsidRPr="00BD66FB">
        <w:rPr>
          <w:rFonts w:hint="eastAsia"/>
        </w:rPr>
        <w:t>要求投标人具有能提供营养盐数据</w:t>
      </w:r>
      <w:proofErr w:type="gramStart"/>
      <w:r w:rsidRPr="00BD66FB">
        <w:rPr>
          <w:rFonts w:hint="eastAsia"/>
        </w:rPr>
        <w:t>比测服务</w:t>
      </w:r>
      <w:proofErr w:type="gramEnd"/>
      <w:r w:rsidRPr="00BD66FB">
        <w:rPr>
          <w:rFonts w:hint="eastAsia"/>
        </w:rPr>
        <w:t>的实验室，该实验室应通过了</w:t>
      </w:r>
      <w:r w:rsidRPr="00BD66FB">
        <w:rPr>
          <w:rFonts w:hint="eastAsia"/>
        </w:rPr>
        <w:t>CMA</w:t>
      </w:r>
      <w:r w:rsidRPr="00BD66FB">
        <w:rPr>
          <w:rFonts w:hint="eastAsia"/>
        </w:rPr>
        <w:t>计量认证，能出具具有法定效力</w:t>
      </w:r>
      <w:proofErr w:type="gramStart"/>
      <w:r w:rsidRPr="00BD66FB">
        <w:rPr>
          <w:rFonts w:hint="eastAsia"/>
        </w:rPr>
        <w:t>的比测报告</w:t>
      </w:r>
      <w:proofErr w:type="gramEnd"/>
      <w:r w:rsidRPr="00BD66FB">
        <w:rPr>
          <w:rFonts w:hint="eastAsia"/>
        </w:rPr>
        <w:t>。</w:t>
      </w:r>
    </w:p>
    <w:p w:rsidR="00334D45" w:rsidRPr="00DB5427" w:rsidRDefault="00334D45" w:rsidP="00334D45">
      <w:pPr>
        <w:numPr>
          <w:ilvl w:val="0"/>
          <w:numId w:val="3"/>
        </w:numPr>
        <w:rPr>
          <w:rFonts w:hint="eastAsia"/>
          <w:color w:val="000000"/>
        </w:rPr>
      </w:pPr>
      <w:r w:rsidRPr="00BD66FB">
        <w:rPr>
          <w:rFonts w:hint="eastAsia"/>
        </w:rPr>
        <w:t>要求投标人建有专业的浮标系统维护队伍与技术支持队伍，在投标文件中提供详细的参</w:t>
      </w:r>
      <w:r w:rsidRPr="00DB5427">
        <w:rPr>
          <w:rFonts w:hint="eastAsia"/>
          <w:color w:val="000000"/>
        </w:rPr>
        <w:t>与本项目的人员配置情况，维护实验室地点与照片等。</w:t>
      </w:r>
    </w:p>
    <w:p w:rsidR="00334D45" w:rsidRPr="00DB5427" w:rsidRDefault="00334D45" w:rsidP="00334D45">
      <w:pPr>
        <w:numPr>
          <w:ilvl w:val="0"/>
          <w:numId w:val="3"/>
        </w:numPr>
        <w:rPr>
          <w:rFonts w:hint="eastAsia"/>
          <w:color w:val="000000"/>
        </w:rPr>
      </w:pPr>
      <w:r w:rsidRPr="00DB5427">
        <w:rPr>
          <w:rFonts w:hint="eastAsia"/>
          <w:color w:val="000000"/>
        </w:rPr>
        <w:t>付款方式</w:t>
      </w:r>
      <w:r w:rsidRPr="00DB5427">
        <w:rPr>
          <w:rFonts w:hint="eastAsia"/>
          <w:color w:val="000000"/>
        </w:rPr>
        <w:t xml:space="preserve">: </w:t>
      </w:r>
      <w:r w:rsidRPr="00DB5427">
        <w:rPr>
          <w:rFonts w:hint="eastAsia"/>
          <w:color w:val="000000"/>
        </w:rPr>
        <w:t>按照合同相关条款执行。</w:t>
      </w:r>
    </w:p>
    <w:p w:rsidR="00334D45" w:rsidRPr="000E3C38" w:rsidRDefault="00334D45" w:rsidP="00334D45">
      <w:pPr>
        <w:rPr>
          <w:rFonts w:ascii="Times New Roman" w:hAnsi="Times New Roman" w:hint="eastAsia"/>
          <w:b/>
        </w:rPr>
      </w:pPr>
    </w:p>
    <w:p w:rsidR="00334D45" w:rsidRDefault="00334D45" w:rsidP="00334D45">
      <w:pPr>
        <w:pStyle w:val="2"/>
        <w:spacing w:beforeLines="50" w:afterLines="50"/>
        <w:rPr>
          <w:rFonts w:ascii="Times New Roman" w:hAnsi="Times New Roman"/>
          <w:sz w:val="30"/>
          <w:szCs w:val="30"/>
        </w:rPr>
      </w:pPr>
      <w:r>
        <w:rPr>
          <w:rFonts w:ascii="Times New Roman" w:hAnsi="Times New Roman" w:hint="eastAsia"/>
          <w:sz w:val="30"/>
          <w:szCs w:val="30"/>
          <w:lang w:eastAsia="zh-CN"/>
        </w:rPr>
        <w:t>七</w:t>
      </w:r>
      <w:r>
        <w:rPr>
          <w:rFonts w:ascii="Times New Roman" w:hAnsi="Times New Roman"/>
          <w:sz w:val="30"/>
          <w:szCs w:val="30"/>
        </w:rPr>
        <w:t>、</w:t>
      </w:r>
      <w:proofErr w:type="spellStart"/>
      <w:r>
        <w:rPr>
          <w:rFonts w:ascii="Times New Roman" w:hAnsi="Times New Roman"/>
          <w:sz w:val="30"/>
          <w:szCs w:val="30"/>
        </w:rPr>
        <w:t>政策导向</w:t>
      </w:r>
      <w:proofErr w:type="spellEnd"/>
    </w:p>
    <w:p w:rsidR="00334D45" w:rsidRDefault="00334D45" w:rsidP="00334D45">
      <w:pPr>
        <w:ind w:firstLineChars="200" w:firstLine="420"/>
        <w:rPr>
          <w:rFonts w:ascii="Times New Roman" w:hAnsi="Times New Roman"/>
        </w:rPr>
      </w:pPr>
      <w:r>
        <w:rPr>
          <w:rFonts w:ascii="Times New Roman" w:hAnsi="Times New Roman"/>
        </w:rPr>
        <w:t>1</w:t>
      </w:r>
      <w:r>
        <w:rPr>
          <w:rFonts w:ascii="Times New Roman" w:hAnsi="Times New Roman"/>
        </w:rPr>
        <w:t>、按照《国务院办公厅关于建立政府强制采购节能产品制度的通知》（国办发〔</w:t>
      </w:r>
      <w:r>
        <w:rPr>
          <w:rFonts w:ascii="Times New Roman" w:hAnsi="Times New Roman"/>
        </w:rPr>
        <w:t>2007</w:t>
      </w:r>
      <w:r>
        <w:rPr>
          <w:rFonts w:ascii="Times New Roman" w:hAnsi="Times New Roman"/>
        </w:rPr>
        <w:t>〕</w:t>
      </w:r>
      <w:r>
        <w:rPr>
          <w:rFonts w:ascii="Times New Roman" w:hAnsi="Times New Roman"/>
        </w:rPr>
        <w:t>51</w:t>
      </w:r>
      <w:r>
        <w:rPr>
          <w:rFonts w:ascii="Times New Roman" w:hAnsi="Times New Roman"/>
        </w:rPr>
        <w:t>号）、《财政部、环保总局关于环境标志产品政府采购实施的意见》（财库</w:t>
      </w:r>
      <w:r>
        <w:rPr>
          <w:rFonts w:ascii="Times New Roman" w:hAnsi="Times New Roman"/>
        </w:rPr>
        <w:t>[2006]90</w:t>
      </w:r>
      <w:r>
        <w:rPr>
          <w:rFonts w:ascii="Times New Roman" w:hAnsi="Times New Roman"/>
        </w:rPr>
        <w:t>号）、《中共深圳市委、深圳市人民政府关于全面推进循环经济发展的决定》（深发〔</w:t>
      </w:r>
      <w:r>
        <w:rPr>
          <w:rFonts w:ascii="Times New Roman" w:hAnsi="Times New Roman"/>
        </w:rPr>
        <w:t>2006</w:t>
      </w:r>
      <w:r>
        <w:rPr>
          <w:rFonts w:ascii="Times New Roman" w:hAnsi="Times New Roman"/>
        </w:rPr>
        <w:t>〕</w:t>
      </w:r>
      <w:r>
        <w:rPr>
          <w:rFonts w:ascii="Times New Roman" w:hAnsi="Times New Roman"/>
        </w:rPr>
        <w:t>9</w:t>
      </w:r>
      <w:r>
        <w:rPr>
          <w:rFonts w:ascii="Times New Roman" w:hAnsi="Times New Roman"/>
        </w:rPr>
        <w:t>号）等的要求，以下产品列入政府优先采购清单，我市政府采购组织实施中，在技术、服务等指标满足采购需求的前提下，优先采购以下清单范围内产品：</w:t>
      </w:r>
    </w:p>
    <w:p w:rsidR="00334D45" w:rsidRDefault="00334D45" w:rsidP="00334D45">
      <w:pPr>
        <w:ind w:firstLineChars="200" w:firstLine="420"/>
        <w:rPr>
          <w:rFonts w:ascii="Times New Roman" w:hAnsi="Times New Roman"/>
        </w:rPr>
      </w:pPr>
      <w:r>
        <w:rPr>
          <w:rFonts w:ascii="Times New Roman" w:hAnsi="Times New Roman"/>
        </w:rPr>
        <w:t>财政部、国家发展和改革委员会制定的《节能产品政府采购清单》，财政部、环境保护部制定的《环境标志产品政府采购清单》中列示的企业及产品，详见中国政府采购网（</w:t>
      </w:r>
      <w:hyperlink r:id="rId5" w:history="1">
        <w:r>
          <w:rPr>
            <w:rStyle w:val="a3"/>
            <w:rFonts w:ascii="Times New Roman" w:hAnsi="Times New Roman"/>
          </w:rPr>
          <w:t>http</w:t>
        </w:r>
        <w:r>
          <w:rPr>
            <w:rStyle w:val="a3"/>
            <w:rFonts w:ascii="Times New Roman" w:hAnsi="Times New Roman"/>
          </w:rPr>
          <w:t>：</w:t>
        </w:r>
        <w:r>
          <w:rPr>
            <w:rStyle w:val="a3"/>
            <w:rFonts w:ascii="Times New Roman" w:hAnsi="Times New Roman"/>
          </w:rPr>
          <w:t>//www.ccgp.gov.cn</w:t>
        </w:r>
      </w:hyperlink>
      <w:r>
        <w:rPr>
          <w:rFonts w:ascii="Times New Roman" w:hAnsi="Times New Roman"/>
        </w:rPr>
        <w:t>）首页。</w:t>
      </w:r>
    </w:p>
    <w:p w:rsidR="00334D45" w:rsidRDefault="00334D45" w:rsidP="00334D45">
      <w:pPr>
        <w:ind w:firstLineChars="200" w:firstLine="420"/>
        <w:rPr>
          <w:rFonts w:ascii="Times New Roman" w:hAnsi="Times New Roman"/>
        </w:rPr>
      </w:pPr>
      <w:r>
        <w:rPr>
          <w:rFonts w:ascii="Times New Roman" w:hAnsi="Times New Roman"/>
        </w:rPr>
        <w:t>2</w:t>
      </w:r>
      <w:r>
        <w:rPr>
          <w:rFonts w:ascii="Times New Roman" w:hAnsi="Times New Roman"/>
        </w:rPr>
        <w:t>、进入以上清单范围的投标产品将在评标时获得竞争优势。</w:t>
      </w:r>
    </w:p>
    <w:p w:rsidR="00334D45" w:rsidRDefault="00334D45" w:rsidP="00334D45">
      <w:pPr>
        <w:ind w:firstLineChars="200" w:firstLine="420"/>
        <w:rPr>
          <w:rFonts w:ascii="Times New Roman" w:hAnsi="Times New Roman"/>
        </w:rPr>
      </w:pPr>
      <w:r>
        <w:rPr>
          <w:rFonts w:ascii="Times New Roman" w:hAnsi="Times New Roman"/>
        </w:rPr>
        <w:t>3</w:t>
      </w:r>
      <w:r>
        <w:rPr>
          <w:rFonts w:ascii="Times New Roman" w:hAnsi="Times New Roman"/>
        </w:rPr>
        <w:t>、</w:t>
      </w:r>
      <w:r>
        <w:rPr>
          <w:rFonts w:ascii="Times New Roman" w:hAnsi="Times New Roman"/>
        </w:rPr>
        <w:t>2014</w:t>
      </w:r>
      <w:r>
        <w:rPr>
          <w:rFonts w:ascii="Times New Roman" w:hAnsi="Times New Roman"/>
        </w:rPr>
        <w:t>年起，政府部门、国有企业在进行设备或工程采购时，应在采购文件中明确要求工程机械、装卸机械满足国家现阶段非道路移动机械用柴油机排放标准，并鼓励使用</w:t>
      </w:r>
      <w:r>
        <w:rPr>
          <w:rFonts w:ascii="Times New Roman" w:hAnsi="Times New Roman"/>
        </w:rPr>
        <w:t>LNG</w:t>
      </w:r>
      <w:r>
        <w:rPr>
          <w:rFonts w:ascii="Times New Roman" w:hAnsi="Times New Roman"/>
        </w:rPr>
        <w:t>或电动工程机械、装卸机械。</w:t>
      </w:r>
      <w:r>
        <w:rPr>
          <w:rFonts w:ascii="Times New Roman" w:hAnsi="Times New Roman"/>
        </w:rPr>
        <w:t>2015</w:t>
      </w:r>
      <w:r>
        <w:rPr>
          <w:rFonts w:ascii="Times New Roman" w:hAnsi="Times New Roman"/>
        </w:rPr>
        <w:t>年起，政府部门、国有企业采购设备或工程项目中选用</w:t>
      </w:r>
      <w:r>
        <w:rPr>
          <w:rFonts w:ascii="Times New Roman" w:hAnsi="Times New Roman"/>
        </w:rPr>
        <w:t>LNG</w:t>
      </w:r>
      <w:r>
        <w:rPr>
          <w:rFonts w:ascii="Times New Roman" w:hAnsi="Times New Roman"/>
        </w:rPr>
        <w:t>或电动工程机械、装卸机械的比例不低于</w:t>
      </w:r>
      <w:r>
        <w:rPr>
          <w:rFonts w:ascii="Times New Roman" w:hAnsi="Times New Roman"/>
        </w:rPr>
        <w:t>30%</w:t>
      </w:r>
      <w:r>
        <w:rPr>
          <w:rFonts w:ascii="Times New Roman" w:hAnsi="Times New Roman"/>
        </w:rPr>
        <w:t>。</w:t>
      </w:r>
    </w:p>
    <w:p w:rsidR="00616859" w:rsidRDefault="00616859" w:rsidP="00334D45"/>
    <w:sectPr w:rsidR="00616859" w:rsidSect="0061685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51C5"/>
    <w:multiLevelType w:val="multilevel"/>
    <w:tmpl w:val="F6FCBB00"/>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4BD739BA"/>
    <w:multiLevelType w:val="multilevel"/>
    <w:tmpl w:val="4BD739B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8F83922"/>
    <w:multiLevelType w:val="multilevel"/>
    <w:tmpl w:val="CA00079E"/>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4D45"/>
    <w:rsid w:val="00092CFA"/>
    <w:rsid w:val="00334D45"/>
    <w:rsid w:val="00616859"/>
    <w:rsid w:val="009023DB"/>
    <w:rsid w:val="00AB7C33"/>
    <w:rsid w:val="00D31A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D45"/>
    <w:pPr>
      <w:widowControl w:val="0"/>
      <w:ind w:left="0" w:firstLine="0"/>
    </w:pPr>
    <w:rPr>
      <w:rFonts w:ascii="Calibri" w:eastAsia="宋体" w:hAnsi="Calibri" w:cs="Times New Roman"/>
    </w:rPr>
  </w:style>
  <w:style w:type="paragraph" w:styleId="2">
    <w:name w:val="heading 2"/>
    <w:basedOn w:val="a"/>
    <w:next w:val="a"/>
    <w:link w:val="2Char"/>
    <w:qFormat/>
    <w:rsid w:val="00334D45"/>
    <w:pPr>
      <w:keepNext/>
      <w:keepLines/>
      <w:adjustRightInd w:val="0"/>
      <w:spacing w:before="260" w:after="260"/>
      <w:jc w:val="center"/>
      <w:textAlignment w:val="baseline"/>
      <w:outlineLvl w:val="1"/>
    </w:pPr>
    <w:rPr>
      <w:rFonts w:ascii="宋体" w:hAnsi="宋体"/>
      <w:b/>
      <w:kern w:val="0"/>
      <w:sz w:val="24"/>
      <w:szCs w:val="20"/>
      <w:lang/>
    </w:rPr>
  </w:style>
  <w:style w:type="paragraph" w:styleId="3">
    <w:name w:val="heading 3"/>
    <w:basedOn w:val="a"/>
    <w:next w:val="a"/>
    <w:link w:val="3Char"/>
    <w:uiPriority w:val="9"/>
    <w:semiHidden/>
    <w:unhideWhenUsed/>
    <w:qFormat/>
    <w:rsid w:val="00334D45"/>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334D4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334D45"/>
    <w:rPr>
      <w:rFonts w:ascii="宋体" w:eastAsia="宋体" w:hAnsi="宋体" w:cs="Times New Roman"/>
      <w:b/>
      <w:kern w:val="0"/>
      <w:sz w:val="24"/>
      <w:szCs w:val="20"/>
      <w:lang/>
    </w:rPr>
  </w:style>
  <w:style w:type="character" w:styleId="a3">
    <w:name w:val="Hyperlink"/>
    <w:uiPriority w:val="99"/>
    <w:rsid w:val="00334D45"/>
    <w:rPr>
      <w:color w:val="0000FF"/>
      <w:u w:val="single"/>
    </w:rPr>
  </w:style>
  <w:style w:type="character" w:customStyle="1" w:styleId="3Char">
    <w:name w:val="标题 3 Char"/>
    <w:basedOn w:val="a0"/>
    <w:link w:val="3"/>
    <w:uiPriority w:val="9"/>
    <w:semiHidden/>
    <w:rsid w:val="00334D45"/>
    <w:rPr>
      <w:rFonts w:ascii="Calibri" w:eastAsia="宋体" w:hAnsi="Calibri" w:cs="Times New Roman"/>
      <w:b/>
      <w:bCs/>
      <w:sz w:val="32"/>
      <w:szCs w:val="32"/>
    </w:rPr>
  </w:style>
  <w:style w:type="character" w:customStyle="1" w:styleId="4Char">
    <w:name w:val="标题 4 Char"/>
    <w:basedOn w:val="a0"/>
    <w:link w:val="4"/>
    <w:uiPriority w:val="9"/>
    <w:semiHidden/>
    <w:rsid w:val="00334D45"/>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cgp.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503</Words>
  <Characters>2871</Characters>
  <Application>Microsoft Office Word</Application>
  <DocSecurity>0</DocSecurity>
  <Lines>23</Lines>
  <Paragraphs>6</Paragraphs>
  <ScaleCrop>false</ScaleCrop>
  <Company>Microsoft</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2017-10-10T10:52:00Z</dcterms:created>
  <dcterms:modified xsi:type="dcterms:W3CDTF">2017-10-10T10:53:00Z</dcterms:modified>
</cp:coreProperties>
</file>