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一、对通用条款的补充内容</w:t>
      </w:r>
    </w:p>
    <w:p/>
    <w:tbl>
      <w:tblPr>
        <w:tblStyle w:val="8"/>
        <w:tblW w:w="829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083"/>
        <w:gridCol w:w="54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Cs/>
              </w:rPr>
            </w:pPr>
            <w:r>
              <w:rPr>
                <w:rFonts w:hint="eastAsia" w:ascii="宋体" w:hAnsi="宋体"/>
                <w:bCs/>
              </w:rPr>
              <w:t>序号</w:t>
            </w:r>
          </w:p>
        </w:tc>
        <w:tc>
          <w:tcPr>
            <w:tcW w:w="2083" w:type="dxa"/>
            <w:vAlign w:val="center"/>
          </w:tcPr>
          <w:p>
            <w:pPr>
              <w:jc w:val="center"/>
              <w:rPr>
                <w:rFonts w:ascii="宋体" w:hAnsi="宋体"/>
                <w:bCs/>
              </w:rPr>
            </w:pPr>
            <w:r>
              <w:rPr>
                <w:rFonts w:hint="eastAsia" w:ascii="宋体" w:hAnsi="宋体"/>
                <w:bCs/>
              </w:rPr>
              <w:t>内   容</w:t>
            </w:r>
          </w:p>
        </w:tc>
        <w:tc>
          <w:tcPr>
            <w:tcW w:w="5400" w:type="dxa"/>
            <w:vAlign w:val="center"/>
          </w:tcPr>
          <w:p>
            <w:pPr>
              <w:jc w:val="center"/>
              <w:rPr>
                <w:rFonts w:ascii="宋体" w:hAnsi="宋体"/>
                <w:bCs/>
              </w:rPr>
            </w:pPr>
            <w:r>
              <w:rPr>
                <w:rFonts w:hint="eastAsia" w:ascii="宋体" w:hAnsi="宋体"/>
                <w:bCs/>
              </w:rPr>
              <w:t>规      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jc w:val="center"/>
              <w:rPr>
                <w:rFonts w:ascii="宋体" w:hAnsi="宋体"/>
              </w:rPr>
            </w:pPr>
          </w:p>
        </w:tc>
        <w:tc>
          <w:tcPr>
            <w:tcW w:w="2083" w:type="dxa"/>
            <w:vAlign w:val="center"/>
          </w:tcPr>
          <w:p>
            <w:r>
              <w:rPr>
                <w:rFonts w:hint="eastAsia"/>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见《采购公告》中“对投标人资质要求”部分的相关内容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jc w:val="center"/>
              <w:rPr>
                <w:rFonts w:ascii="宋体" w:hAnsi="宋体"/>
              </w:rPr>
            </w:pPr>
          </w:p>
        </w:tc>
        <w:tc>
          <w:tcPr>
            <w:tcW w:w="2083" w:type="dxa"/>
            <w:vAlign w:val="center"/>
          </w:tcPr>
          <w:p>
            <w:pPr>
              <w:rPr>
                <w:rFonts w:ascii="宋体" w:hAnsi="宋体"/>
              </w:rPr>
            </w:pPr>
            <w:r>
              <w:rPr>
                <w:rFonts w:hint="eastAsia" w:ascii="宋体" w:hAnsi="宋体"/>
              </w:rPr>
              <w:t>投标保证金</w:t>
            </w:r>
          </w:p>
        </w:tc>
        <w:tc>
          <w:tcPr>
            <w:tcW w:w="5400" w:type="dxa"/>
            <w:vAlign w:val="center"/>
          </w:tcPr>
          <w:p>
            <w:r>
              <w:rPr>
                <w:rFonts w:hint="eastAsia"/>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jc w:val="center"/>
              <w:rPr>
                <w:rFonts w:ascii="宋体" w:hAnsi="宋体"/>
              </w:rPr>
            </w:pPr>
          </w:p>
        </w:tc>
        <w:tc>
          <w:tcPr>
            <w:tcW w:w="2083" w:type="dxa"/>
            <w:vAlign w:val="center"/>
          </w:tcPr>
          <w:p>
            <w:pPr>
              <w:rPr>
                <w:rFonts w:ascii="宋体" w:hAnsi="宋体"/>
              </w:rPr>
            </w:pPr>
            <w:r>
              <w:rPr>
                <w:rFonts w:hint="eastAsia" w:ascii="宋体" w:hAnsi="宋体"/>
              </w:rPr>
              <w:t>投标有效期</w:t>
            </w:r>
          </w:p>
        </w:tc>
        <w:tc>
          <w:tcPr>
            <w:tcW w:w="5400" w:type="dxa"/>
            <w:vAlign w:val="center"/>
          </w:tcPr>
          <w:p>
            <w:pPr>
              <w:rPr>
                <w:rFonts w:ascii="宋体" w:hAnsi="宋体"/>
              </w:rPr>
            </w:pPr>
            <w:r>
              <w:rPr>
                <w:rFonts w:hint="eastAsia" w:ascii="宋体" w:hAnsi="宋体"/>
              </w:rPr>
              <w:t>90</w:t>
            </w:r>
            <w:r>
              <w:rPr>
                <w:rFonts w:ascii="宋体" w:hAnsi="宋体"/>
              </w:rPr>
              <w:t>日历天（从投标截止之日算起）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jc w:val="center"/>
              <w:rPr>
                <w:rFonts w:ascii="宋体" w:hAnsi="宋体"/>
              </w:rPr>
            </w:pPr>
          </w:p>
        </w:tc>
        <w:tc>
          <w:tcPr>
            <w:tcW w:w="2083" w:type="dxa"/>
            <w:vAlign w:val="center"/>
          </w:tcPr>
          <w:p>
            <w:pPr>
              <w:rPr>
                <w:rFonts w:ascii="宋体" w:hAnsi="宋体"/>
              </w:rPr>
            </w:pPr>
            <w:r>
              <w:rPr>
                <w:rFonts w:hint="eastAsia" w:ascii="宋体" w:hAnsi="宋体"/>
              </w:rPr>
              <w:t>投标人的替代方案</w:t>
            </w:r>
          </w:p>
        </w:tc>
        <w:tc>
          <w:tcPr>
            <w:tcW w:w="5400" w:type="dxa"/>
            <w:vAlign w:val="center"/>
          </w:tcPr>
          <w:p>
            <w:pPr>
              <w:rPr>
                <w:rFonts w:ascii="宋体" w:hAnsi="宋体"/>
              </w:rPr>
            </w:pPr>
            <w:r>
              <w:rPr>
                <w:rFonts w:hint="eastAsia" w:ascii="宋体" w:hAnsi="宋体"/>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spacing w:line="240" w:lineRule="exact"/>
              <w:jc w:val="center"/>
              <w:rPr>
                <w:rFonts w:ascii="宋体" w:hAnsi="宋体"/>
              </w:rPr>
            </w:pPr>
          </w:p>
        </w:tc>
        <w:tc>
          <w:tcPr>
            <w:tcW w:w="2083" w:type="dxa"/>
            <w:vAlign w:val="center"/>
          </w:tcPr>
          <w:p>
            <w:pPr>
              <w:spacing w:line="240" w:lineRule="exact"/>
              <w:rPr>
                <w:rFonts w:ascii="宋体" w:hAnsi="宋体"/>
              </w:rPr>
            </w:pPr>
            <w:r>
              <w:rPr>
                <w:rFonts w:hint="eastAsia" w:ascii="宋体" w:hAnsi="宋体"/>
              </w:rPr>
              <w:t>投标文件的递交</w:t>
            </w:r>
          </w:p>
        </w:tc>
        <w:tc>
          <w:tcPr>
            <w:tcW w:w="5400" w:type="dxa"/>
            <w:vAlign w:val="center"/>
          </w:tcPr>
          <w:p>
            <w:pPr>
              <w:spacing w:line="240" w:lineRule="exact"/>
              <w:rPr>
                <w:rFonts w:ascii="宋体" w:hAnsi="宋体"/>
              </w:rPr>
            </w:pPr>
            <w:r>
              <w:rPr>
                <w:rFonts w:hint="eastAsia" w:ascii="宋体" w:hAnsi="宋体"/>
              </w:rPr>
              <w:t>在采购文件规定的投标截止时间前直接送达至指定地点。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807" w:type="dxa"/>
            <w:vAlign w:val="center"/>
          </w:tcPr>
          <w:p>
            <w:pPr>
              <w:numPr>
                <w:ilvl w:val="0"/>
                <w:numId w:val="1"/>
              </w:numPr>
              <w:jc w:val="center"/>
              <w:rPr>
                <w:rFonts w:ascii="宋体" w:hAnsi="宋体"/>
              </w:rPr>
            </w:pPr>
          </w:p>
        </w:tc>
        <w:tc>
          <w:tcPr>
            <w:tcW w:w="2083" w:type="dxa"/>
            <w:vAlign w:val="center"/>
          </w:tcPr>
          <w:p>
            <w:pPr>
              <w:rPr>
                <w:rFonts w:ascii="宋体" w:hAnsi="宋体"/>
              </w:rPr>
            </w:pPr>
            <w:r>
              <w:rPr>
                <w:rFonts w:hint="eastAsia" w:ascii="宋体" w:hAnsi="宋体"/>
              </w:rPr>
              <w:t>履约担保金额</w:t>
            </w:r>
          </w:p>
        </w:tc>
        <w:tc>
          <w:tcPr>
            <w:tcW w:w="5400" w:type="dxa"/>
            <w:vAlign w:val="center"/>
          </w:tcPr>
          <w:p>
            <w:pPr>
              <w:rPr>
                <w:rFonts w:ascii="宋体" w:hAnsi="宋体"/>
              </w:rPr>
            </w:pPr>
            <w:r>
              <w:rPr>
                <w:rFonts w:hint="eastAsia" w:ascii="宋体" w:hAnsi="宋体"/>
              </w:rPr>
              <w:t>为合同价款的3</w:t>
            </w:r>
            <w:r>
              <w:rPr>
                <w:rFonts w:ascii="宋体" w:hAnsi="宋体"/>
              </w:rPr>
              <w:t>％</w:t>
            </w:r>
          </w:p>
        </w:tc>
      </w:tr>
    </w:tbl>
    <w:p>
      <w:pPr>
        <w:ind w:right="792" w:rightChars="377"/>
        <w:jc w:val="center"/>
        <w:rPr>
          <w:b/>
        </w:rPr>
      </w:pPr>
      <w:r>
        <w:rPr>
          <w:rFonts w:hint="eastAsia"/>
          <w:szCs w:val="21"/>
        </w:rPr>
        <w:t>备注：本表为通用条款相关内容的补充和明确，如与通用条款相冲突的以本表为准。</w:t>
      </w:r>
    </w:p>
    <w:p/>
    <w:p>
      <w:pPr>
        <w:jc w:val="center"/>
        <w:rPr>
          <w:rFonts w:ascii="Calibri" w:hAnsi="Calibri"/>
          <w:b/>
          <w:sz w:val="30"/>
          <w:szCs w:val="30"/>
        </w:rPr>
      </w:pPr>
      <w:r>
        <w:rPr>
          <w:rFonts w:hint="eastAsia" w:ascii="Calibri" w:hAnsi="Calibri"/>
          <w:b/>
          <w:sz w:val="30"/>
          <w:szCs w:val="30"/>
        </w:rPr>
        <w:t>二、项目清单</w:t>
      </w:r>
    </w:p>
    <w:p/>
    <w:tbl>
      <w:tblPr>
        <w:tblStyle w:val="8"/>
        <w:tblW w:w="8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701"/>
        <w:gridCol w:w="2977"/>
        <w:gridCol w:w="709"/>
        <w:gridCol w:w="709"/>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Align w:val="center"/>
          </w:tcPr>
          <w:p>
            <w:pPr>
              <w:jc w:val="center"/>
              <w:rPr>
                <w:bCs/>
                <w:szCs w:val="21"/>
              </w:rPr>
            </w:pPr>
            <w:r>
              <w:rPr>
                <w:rFonts w:hint="eastAsia"/>
                <w:bCs/>
                <w:szCs w:val="21"/>
              </w:rPr>
              <w:t>序号</w:t>
            </w:r>
          </w:p>
        </w:tc>
        <w:tc>
          <w:tcPr>
            <w:tcW w:w="1701" w:type="dxa"/>
            <w:vAlign w:val="center"/>
          </w:tcPr>
          <w:p>
            <w:pPr>
              <w:jc w:val="center"/>
              <w:rPr>
                <w:bCs/>
                <w:szCs w:val="21"/>
              </w:rPr>
            </w:pPr>
            <w:r>
              <w:rPr>
                <w:rFonts w:hint="eastAsia"/>
                <w:szCs w:val="21"/>
              </w:rPr>
              <w:t>采购计划编号</w:t>
            </w:r>
          </w:p>
        </w:tc>
        <w:tc>
          <w:tcPr>
            <w:tcW w:w="2977" w:type="dxa"/>
            <w:vAlign w:val="center"/>
          </w:tcPr>
          <w:p>
            <w:pPr>
              <w:jc w:val="center"/>
              <w:rPr>
                <w:bCs/>
                <w:szCs w:val="21"/>
              </w:rPr>
            </w:pPr>
            <w:r>
              <w:rPr>
                <w:rFonts w:hint="eastAsia"/>
                <w:bCs/>
                <w:szCs w:val="21"/>
              </w:rPr>
              <w:t>品名（服务名称）</w:t>
            </w:r>
          </w:p>
        </w:tc>
        <w:tc>
          <w:tcPr>
            <w:tcW w:w="709" w:type="dxa"/>
            <w:vAlign w:val="center"/>
          </w:tcPr>
          <w:p>
            <w:pPr>
              <w:jc w:val="center"/>
              <w:rPr>
                <w:bCs/>
                <w:szCs w:val="21"/>
              </w:rPr>
            </w:pPr>
            <w:r>
              <w:rPr>
                <w:rFonts w:hint="eastAsia"/>
                <w:bCs/>
                <w:szCs w:val="21"/>
              </w:rPr>
              <w:t>计量单位</w:t>
            </w:r>
          </w:p>
        </w:tc>
        <w:tc>
          <w:tcPr>
            <w:tcW w:w="709" w:type="dxa"/>
            <w:vAlign w:val="center"/>
          </w:tcPr>
          <w:p>
            <w:pPr>
              <w:jc w:val="center"/>
              <w:rPr>
                <w:bCs/>
                <w:szCs w:val="21"/>
              </w:rPr>
            </w:pPr>
            <w:r>
              <w:rPr>
                <w:rFonts w:hint="eastAsia"/>
                <w:bCs/>
                <w:szCs w:val="21"/>
              </w:rPr>
              <w:t>数量</w:t>
            </w:r>
          </w:p>
        </w:tc>
        <w:tc>
          <w:tcPr>
            <w:tcW w:w="1535" w:type="dxa"/>
            <w:vAlign w:val="center"/>
          </w:tcPr>
          <w:p>
            <w:pPr>
              <w:jc w:val="center"/>
              <w:rPr>
                <w:bCs/>
                <w:szCs w:val="21"/>
              </w:rPr>
            </w:pPr>
            <w:r>
              <w:rPr>
                <w:rFonts w:hint="eastAsia"/>
                <w:bCs/>
                <w:szCs w:val="21"/>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Align w:val="center"/>
          </w:tcPr>
          <w:p>
            <w:pPr>
              <w:jc w:val="center"/>
              <w:rPr>
                <w:bCs/>
                <w:szCs w:val="21"/>
              </w:rPr>
            </w:pPr>
            <w:r>
              <w:rPr>
                <w:rFonts w:hint="eastAsia"/>
                <w:bCs/>
                <w:szCs w:val="21"/>
              </w:rPr>
              <w:t>1</w:t>
            </w:r>
          </w:p>
        </w:tc>
        <w:tc>
          <w:tcPr>
            <w:tcW w:w="1701" w:type="dxa"/>
            <w:vAlign w:val="center"/>
          </w:tcPr>
          <w:p>
            <w:pPr>
              <w:jc w:val="center"/>
            </w:pPr>
            <w:r>
              <w:rPr>
                <w:rFonts w:hint="eastAsia"/>
              </w:rPr>
              <w:t>PLAN-2018-</w:t>
            </w:r>
          </w:p>
          <w:p>
            <w:pPr>
              <w:jc w:val="center"/>
              <w:rPr>
                <w:bCs/>
                <w:szCs w:val="21"/>
              </w:rPr>
            </w:pPr>
            <w:r>
              <w:rPr>
                <w:rFonts w:hint="eastAsia"/>
                <w:bCs/>
                <w:szCs w:val="21"/>
              </w:rPr>
              <w:t>021007-000012</w:t>
            </w:r>
          </w:p>
        </w:tc>
        <w:tc>
          <w:tcPr>
            <w:tcW w:w="2977" w:type="dxa"/>
            <w:vAlign w:val="center"/>
          </w:tcPr>
          <w:p>
            <w:pPr>
              <w:jc w:val="center"/>
              <w:rPr>
                <w:bCs/>
                <w:szCs w:val="21"/>
              </w:rPr>
            </w:pPr>
            <w:r>
              <w:rPr>
                <w:rFonts w:hint="eastAsia"/>
              </w:rPr>
              <w:t>深圳市土壤环境背景样品采集与分析测试技术服务</w:t>
            </w:r>
          </w:p>
        </w:tc>
        <w:tc>
          <w:tcPr>
            <w:tcW w:w="709" w:type="dxa"/>
            <w:vAlign w:val="center"/>
          </w:tcPr>
          <w:p>
            <w:pPr>
              <w:jc w:val="center"/>
              <w:rPr>
                <w:bCs/>
                <w:szCs w:val="21"/>
              </w:rPr>
            </w:pPr>
            <w:r>
              <w:rPr>
                <w:rFonts w:hint="eastAsia"/>
                <w:bCs/>
                <w:szCs w:val="21"/>
              </w:rPr>
              <w:t>项</w:t>
            </w:r>
          </w:p>
        </w:tc>
        <w:tc>
          <w:tcPr>
            <w:tcW w:w="709" w:type="dxa"/>
            <w:vAlign w:val="center"/>
          </w:tcPr>
          <w:p>
            <w:pPr>
              <w:jc w:val="center"/>
              <w:rPr>
                <w:bCs/>
                <w:szCs w:val="21"/>
              </w:rPr>
            </w:pPr>
            <w:r>
              <w:rPr>
                <w:rFonts w:hint="eastAsia"/>
                <w:bCs/>
                <w:szCs w:val="21"/>
              </w:rPr>
              <w:t>1</w:t>
            </w:r>
          </w:p>
        </w:tc>
        <w:tc>
          <w:tcPr>
            <w:tcW w:w="1535" w:type="dxa"/>
            <w:vAlign w:val="center"/>
          </w:tcPr>
          <w:p>
            <w:pPr>
              <w:jc w:val="center"/>
              <w:rPr>
                <w:bCs/>
                <w:szCs w:val="21"/>
              </w:rPr>
            </w:pPr>
            <w:r>
              <w:rPr>
                <w:rFonts w:hint="eastAsia"/>
              </w:rPr>
              <w:t>1,994,000.00</w:t>
            </w:r>
          </w:p>
        </w:tc>
      </w:tr>
    </w:tbl>
    <w:p>
      <w:pPr>
        <w:rPr>
          <w:color w:val="000000"/>
        </w:rPr>
      </w:pPr>
      <w:r>
        <w:rPr>
          <w:rFonts w:hint="eastAsia"/>
        </w:rPr>
        <w:t>注：</w:t>
      </w:r>
      <w:r>
        <w:rPr>
          <w:rFonts w:hint="eastAsia"/>
          <w:color w:val="000000"/>
        </w:rPr>
        <w:t>超出财政预算限额的投标报价将不被接受。</w:t>
      </w:r>
    </w:p>
    <w:p/>
    <w:p/>
    <w:p>
      <w:pPr>
        <w:jc w:val="center"/>
        <w:rPr>
          <w:rFonts w:ascii="Calibri" w:hAnsi="Calibri"/>
          <w:b/>
          <w:sz w:val="30"/>
          <w:szCs w:val="30"/>
        </w:rPr>
      </w:pPr>
      <w:bookmarkStart w:id="0" w:name="_Toc128884461"/>
      <w:r>
        <w:rPr>
          <w:rFonts w:hint="eastAsia" w:ascii="Calibri" w:hAnsi="Calibri"/>
          <w:b/>
          <w:sz w:val="30"/>
          <w:szCs w:val="30"/>
        </w:rPr>
        <w:t>三、</w:t>
      </w:r>
      <w:bookmarkEnd w:id="0"/>
      <w:r>
        <w:rPr>
          <w:rFonts w:hint="eastAsia" w:ascii="宋体" w:hAnsi="宋体"/>
          <w:b/>
          <w:bCs/>
          <w:kern w:val="0"/>
          <w:sz w:val="28"/>
          <w:szCs w:val="28"/>
        </w:rPr>
        <w:t>项目概况</w:t>
      </w:r>
    </w:p>
    <w:p>
      <w:pPr>
        <w:ind w:firstLine="424" w:firstLineChars="202"/>
        <w:jc w:val="left"/>
        <w:rPr>
          <w:rFonts w:ascii="宋体" w:hAnsi="宋体" w:cs="宋体"/>
          <w:color w:val="000000"/>
          <w:szCs w:val="21"/>
        </w:rPr>
      </w:pPr>
      <w:r>
        <w:rPr>
          <w:rFonts w:hint="eastAsia" w:ascii="宋体" w:hAnsi="宋体" w:cs="宋体"/>
          <w:color w:val="000000"/>
          <w:szCs w:val="21"/>
        </w:rPr>
        <w:t>为贯彻落实《深圳市土壤环境保护和质量提升工作方案》（深府办〔2016〕36号）有关要求，我市正在开展土壤环境背景调查，为确保该调查任务顺利推进，现需开展土壤环境背景样品采集、样品制备、分析测试等工作。</w:t>
      </w:r>
    </w:p>
    <w:p>
      <w:pPr>
        <w:ind w:firstLine="424" w:firstLineChars="202"/>
        <w:jc w:val="center"/>
        <w:rPr>
          <w:rFonts w:ascii="宋体" w:hAnsi="宋体" w:cs="宋体"/>
          <w:color w:val="000000"/>
          <w:szCs w:val="21"/>
        </w:rPr>
      </w:pPr>
    </w:p>
    <w:p>
      <w:pPr>
        <w:ind w:firstLine="608" w:firstLineChars="202"/>
        <w:jc w:val="center"/>
        <w:rPr>
          <w:rFonts w:ascii="Calibri" w:hAnsi="Calibri"/>
          <w:b/>
          <w:sz w:val="30"/>
          <w:szCs w:val="30"/>
        </w:rPr>
      </w:pPr>
      <w:r>
        <w:rPr>
          <w:rFonts w:hint="eastAsia" w:ascii="Calibri" w:hAnsi="Calibri"/>
          <w:b/>
          <w:sz w:val="30"/>
          <w:szCs w:val="30"/>
        </w:rPr>
        <w:t>四、项目技术要求</w:t>
      </w:r>
    </w:p>
    <w:p>
      <w:pPr>
        <w:keepNext/>
        <w:keepLines/>
        <w:numPr>
          <w:ilvl w:val="0"/>
          <w:numId w:val="2"/>
        </w:numPr>
        <w:spacing w:before="120" w:after="120" w:line="360" w:lineRule="auto"/>
        <w:ind w:left="357" w:hanging="357"/>
        <w:outlineLvl w:val="2"/>
        <w:rPr>
          <w:bCs/>
          <w:szCs w:val="21"/>
        </w:rPr>
      </w:pPr>
      <w:r>
        <w:rPr>
          <w:rFonts w:hint="eastAsia"/>
          <w:bCs/>
          <w:szCs w:val="21"/>
        </w:rPr>
        <w:t>工作目标</w:t>
      </w:r>
    </w:p>
    <w:p>
      <w:pPr>
        <w:spacing w:line="360" w:lineRule="auto"/>
        <w:ind w:firstLine="420" w:firstLineChars="200"/>
        <w:rPr>
          <w:szCs w:val="21"/>
        </w:rPr>
      </w:pPr>
      <w:r>
        <w:rPr>
          <w:rFonts w:hint="eastAsia"/>
          <w:szCs w:val="21"/>
        </w:rPr>
        <w:t>根据深圳市土壤环境背景调查有关工作要求，开展土壤环境背景样品采集、制备、流转、分析测试、入库保存等工作。</w:t>
      </w:r>
    </w:p>
    <w:p>
      <w:pPr>
        <w:keepNext/>
        <w:keepLines/>
        <w:numPr>
          <w:ilvl w:val="0"/>
          <w:numId w:val="2"/>
        </w:numPr>
        <w:spacing w:before="120" w:after="120" w:line="360" w:lineRule="auto"/>
        <w:ind w:left="357" w:hanging="357"/>
        <w:outlineLvl w:val="2"/>
        <w:rPr>
          <w:bCs/>
          <w:szCs w:val="21"/>
        </w:rPr>
      </w:pPr>
      <w:r>
        <w:rPr>
          <w:rFonts w:hint="eastAsia"/>
          <w:bCs/>
          <w:szCs w:val="21"/>
        </w:rPr>
        <w:t>服务内容</w:t>
      </w:r>
    </w:p>
    <w:p>
      <w:pPr>
        <w:numPr>
          <w:ilvl w:val="0"/>
          <w:numId w:val="3"/>
        </w:numPr>
        <w:spacing w:line="360" w:lineRule="auto"/>
        <w:ind w:left="0" w:firstLine="420" w:firstLineChars="200"/>
        <w:rPr>
          <w:szCs w:val="21"/>
        </w:rPr>
      </w:pPr>
      <w:r>
        <w:rPr>
          <w:rFonts w:hint="eastAsia"/>
          <w:szCs w:val="21"/>
        </w:rPr>
        <w:t>样品采集</w:t>
      </w:r>
    </w:p>
    <w:p>
      <w:pPr>
        <w:spacing w:line="360" w:lineRule="auto"/>
        <w:ind w:firstLine="420" w:firstLineChars="200"/>
        <w:rPr>
          <w:szCs w:val="21"/>
        </w:rPr>
      </w:pPr>
      <w:r>
        <w:rPr>
          <w:rFonts w:hint="eastAsia"/>
          <w:szCs w:val="21"/>
        </w:rPr>
        <w:t>按照采购方制定的《深圳市土壤环境背景调查样品采集与分析测试技术规定</w:t>
      </w:r>
      <w:r>
        <w:rPr>
          <w:szCs w:val="21"/>
        </w:rPr>
        <w:t>》</w:t>
      </w:r>
      <w:r>
        <w:rPr>
          <w:rFonts w:hint="eastAsia"/>
          <w:szCs w:val="21"/>
        </w:rPr>
        <w:t>（以下简称《技术规定</w:t>
      </w:r>
      <w:r>
        <w:rPr>
          <w:szCs w:val="21"/>
        </w:rPr>
        <w:t>》）</w:t>
      </w:r>
      <w:r>
        <w:rPr>
          <w:rFonts w:hint="eastAsia"/>
          <w:szCs w:val="21"/>
        </w:rPr>
        <w:t>有关要求，制定采样计划，确定详细采样任务及人员安排，明确各项采样准备和注意事项等。根据《技术规定</w:t>
      </w:r>
      <w:r>
        <w:rPr>
          <w:szCs w:val="21"/>
        </w:rPr>
        <w:t>》</w:t>
      </w:r>
      <w:r>
        <w:rPr>
          <w:rFonts w:hint="eastAsia"/>
          <w:szCs w:val="21"/>
        </w:rPr>
        <w:t>中确定的采样点位置和采样要求，开展现场样品采集工作，并按照市级质控实验室制定的质控方案同步采集密码平行样。</w:t>
      </w:r>
    </w:p>
    <w:p>
      <w:pPr>
        <w:numPr>
          <w:ilvl w:val="0"/>
          <w:numId w:val="3"/>
        </w:numPr>
        <w:spacing w:line="360" w:lineRule="auto"/>
        <w:ind w:left="0" w:firstLine="420" w:firstLineChars="200"/>
        <w:rPr>
          <w:szCs w:val="21"/>
        </w:rPr>
      </w:pPr>
      <w:r>
        <w:rPr>
          <w:rFonts w:hint="eastAsia"/>
          <w:szCs w:val="21"/>
        </w:rPr>
        <w:t>样品制备与流转</w:t>
      </w:r>
    </w:p>
    <w:p>
      <w:pPr>
        <w:spacing w:line="360" w:lineRule="auto"/>
        <w:ind w:firstLine="420" w:firstLineChars="200"/>
        <w:rPr>
          <w:szCs w:val="21"/>
        </w:rPr>
      </w:pPr>
      <w:r>
        <w:rPr>
          <w:rFonts w:hint="eastAsia"/>
          <w:szCs w:val="21"/>
        </w:rPr>
        <w:t>按照《技术规定</w:t>
      </w:r>
      <w:r>
        <w:rPr>
          <w:szCs w:val="21"/>
        </w:rPr>
        <w:t>》</w:t>
      </w:r>
      <w:r>
        <w:rPr>
          <w:rFonts w:hint="eastAsia"/>
          <w:szCs w:val="21"/>
        </w:rPr>
        <w:t>有关要求，制备土壤无机分析样品及土壤有机分析样品。土壤无机分析样品制备三份，其中一份留检，一份转运至采购方指定的单位检测其他指标，</w:t>
      </w:r>
      <w:r>
        <w:rPr>
          <w:szCs w:val="21"/>
        </w:rPr>
        <w:t>一份</w:t>
      </w:r>
      <w:r>
        <w:rPr>
          <w:rFonts w:hint="eastAsia"/>
          <w:szCs w:val="21"/>
        </w:rPr>
        <w:t>送至市级土壤样品库长期保存。留检样品和转运至采购方指定单位的样品需按照《深圳市土壤环境详查质量保证与质量控制技术指南》有关要求进行二次编码。</w:t>
      </w:r>
    </w:p>
    <w:p>
      <w:pPr>
        <w:numPr>
          <w:ilvl w:val="0"/>
          <w:numId w:val="3"/>
        </w:numPr>
        <w:spacing w:line="360" w:lineRule="auto"/>
        <w:ind w:left="0" w:firstLine="420" w:firstLineChars="200"/>
        <w:rPr>
          <w:szCs w:val="21"/>
        </w:rPr>
      </w:pPr>
      <w:r>
        <w:rPr>
          <w:rFonts w:hint="eastAsia"/>
          <w:szCs w:val="21"/>
        </w:rPr>
        <w:t>样品分析测试</w:t>
      </w:r>
    </w:p>
    <w:p>
      <w:pPr>
        <w:spacing w:line="360" w:lineRule="auto"/>
        <w:ind w:firstLine="420" w:firstLineChars="200"/>
        <w:rPr>
          <w:szCs w:val="21"/>
        </w:rPr>
      </w:pPr>
      <w:bookmarkStart w:id="1" w:name="_Hlk508627481"/>
      <w:r>
        <w:rPr>
          <w:rFonts w:hint="eastAsia"/>
          <w:szCs w:val="21"/>
        </w:rPr>
        <w:t>按照《技术规定</w:t>
      </w:r>
      <w:r>
        <w:rPr>
          <w:szCs w:val="21"/>
        </w:rPr>
        <w:t>》</w:t>
      </w:r>
      <w:r>
        <w:rPr>
          <w:rFonts w:hint="eastAsia"/>
          <w:szCs w:val="21"/>
        </w:rPr>
        <w:t>有关要求，</w:t>
      </w:r>
      <w:bookmarkEnd w:id="1"/>
      <w:r>
        <w:rPr>
          <w:rFonts w:hint="eastAsia"/>
          <w:szCs w:val="21"/>
        </w:rPr>
        <w:t>确定土壤样品分析测试方法，开展土壤样品分析测试。分析测试项目包括土壤的基本理化性质、常规重金属、多环芳烃、有机氯农药、酞酸酯、石油烃等指标。具体分析测试项目详见表1。</w:t>
      </w:r>
    </w:p>
    <w:p>
      <w:pPr>
        <w:spacing w:line="360" w:lineRule="auto"/>
        <w:jc w:val="center"/>
        <w:rPr>
          <w:szCs w:val="21"/>
        </w:rPr>
      </w:pPr>
      <w:r>
        <w:rPr>
          <w:rFonts w:hint="eastAsia"/>
          <w:szCs w:val="21"/>
        </w:rPr>
        <w:t xml:space="preserve">表1 </w:t>
      </w:r>
      <w:r>
        <w:rPr>
          <w:szCs w:val="21"/>
        </w:rPr>
        <w:t xml:space="preserve"> </w:t>
      </w:r>
      <w:r>
        <w:rPr>
          <w:rFonts w:hint="eastAsia"/>
          <w:szCs w:val="21"/>
        </w:rPr>
        <w:t>土壤样品分析测试项目</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5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spacing w:line="288" w:lineRule="auto"/>
              <w:jc w:val="center"/>
              <w:rPr>
                <w:b/>
                <w:szCs w:val="21"/>
              </w:rPr>
            </w:pPr>
            <w:r>
              <w:rPr>
                <w:rFonts w:hint="eastAsia"/>
                <w:b/>
                <w:szCs w:val="21"/>
              </w:rPr>
              <w:t>序号</w:t>
            </w:r>
          </w:p>
        </w:tc>
        <w:tc>
          <w:tcPr>
            <w:tcW w:w="1843" w:type="dxa"/>
            <w:vAlign w:val="center"/>
          </w:tcPr>
          <w:p>
            <w:pPr>
              <w:spacing w:line="288" w:lineRule="auto"/>
              <w:jc w:val="center"/>
              <w:rPr>
                <w:b/>
                <w:szCs w:val="21"/>
              </w:rPr>
            </w:pPr>
            <w:r>
              <w:rPr>
                <w:rFonts w:hint="eastAsia"/>
                <w:b/>
                <w:szCs w:val="21"/>
              </w:rPr>
              <w:t>类别</w:t>
            </w:r>
          </w:p>
        </w:tc>
        <w:tc>
          <w:tcPr>
            <w:tcW w:w="5862" w:type="dxa"/>
            <w:vAlign w:val="center"/>
          </w:tcPr>
          <w:p>
            <w:pPr>
              <w:spacing w:line="288" w:lineRule="auto"/>
              <w:jc w:val="center"/>
              <w:rPr>
                <w:b/>
                <w:szCs w:val="21"/>
              </w:rPr>
            </w:pPr>
            <w:r>
              <w:rPr>
                <w:rFonts w:hint="eastAsia"/>
                <w:b/>
                <w:szCs w:val="21"/>
              </w:rPr>
              <w:t>分析测试项目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1</w:t>
            </w:r>
          </w:p>
        </w:tc>
        <w:tc>
          <w:tcPr>
            <w:tcW w:w="1843" w:type="dxa"/>
            <w:vAlign w:val="center"/>
          </w:tcPr>
          <w:p>
            <w:pPr>
              <w:spacing w:line="288" w:lineRule="auto"/>
              <w:jc w:val="center"/>
              <w:rPr>
                <w:szCs w:val="21"/>
              </w:rPr>
            </w:pPr>
            <w:r>
              <w:rPr>
                <w:rFonts w:hint="eastAsia"/>
                <w:szCs w:val="21"/>
              </w:rPr>
              <w:t>基本理化性质</w:t>
            </w:r>
          </w:p>
        </w:tc>
        <w:tc>
          <w:tcPr>
            <w:tcW w:w="5862" w:type="dxa"/>
            <w:vAlign w:val="center"/>
          </w:tcPr>
          <w:p>
            <w:pPr>
              <w:spacing w:line="288" w:lineRule="auto"/>
              <w:rPr>
                <w:szCs w:val="21"/>
              </w:rPr>
            </w:pPr>
            <w:r>
              <w:rPr>
                <w:rFonts w:hint="eastAsia"/>
                <w:szCs w:val="21"/>
              </w:rPr>
              <w:t>pH、含水率、机械组成、容重、有机质含量、阳离子交换量等6种理化性质指标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2</w:t>
            </w:r>
          </w:p>
        </w:tc>
        <w:tc>
          <w:tcPr>
            <w:tcW w:w="1843" w:type="dxa"/>
            <w:vAlign w:val="center"/>
          </w:tcPr>
          <w:p>
            <w:pPr>
              <w:spacing w:line="288" w:lineRule="auto"/>
              <w:jc w:val="center"/>
              <w:rPr>
                <w:szCs w:val="21"/>
              </w:rPr>
            </w:pPr>
            <w:r>
              <w:rPr>
                <w:rFonts w:hint="eastAsia"/>
                <w:szCs w:val="21"/>
              </w:rPr>
              <w:t>常规重金属</w:t>
            </w:r>
          </w:p>
        </w:tc>
        <w:tc>
          <w:tcPr>
            <w:tcW w:w="5862" w:type="dxa"/>
            <w:vAlign w:val="center"/>
          </w:tcPr>
          <w:p>
            <w:pPr>
              <w:spacing w:line="288" w:lineRule="auto"/>
              <w:rPr>
                <w:szCs w:val="21"/>
              </w:rPr>
            </w:pPr>
            <w:r>
              <w:rPr>
                <w:rFonts w:hint="eastAsia"/>
                <w:szCs w:val="21"/>
              </w:rPr>
              <w:t>总镉、总汞、总砷、总铅、总铬、总铜、总镍、总锌、总锰、总钴、总硒、总钒、总锑、总铊、总钼等15种重金属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3</w:t>
            </w:r>
          </w:p>
        </w:tc>
        <w:tc>
          <w:tcPr>
            <w:tcW w:w="1843" w:type="dxa"/>
            <w:vAlign w:val="center"/>
          </w:tcPr>
          <w:p>
            <w:pPr>
              <w:spacing w:line="288" w:lineRule="auto"/>
              <w:jc w:val="center"/>
              <w:rPr>
                <w:szCs w:val="21"/>
              </w:rPr>
            </w:pPr>
            <w:r>
              <w:rPr>
                <w:rFonts w:hint="eastAsia"/>
                <w:szCs w:val="21"/>
              </w:rPr>
              <w:t>多环芳烃</w:t>
            </w:r>
          </w:p>
        </w:tc>
        <w:tc>
          <w:tcPr>
            <w:tcW w:w="5862" w:type="dxa"/>
            <w:vAlign w:val="center"/>
          </w:tcPr>
          <w:p>
            <w:pPr>
              <w:spacing w:line="288" w:lineRule="auto"/>
              <w:rPr>
                <w:szCs w:val="21"/>
              </w:rPr>
            </w:pPr>
            <w:r>
              <w:rPr>
                <w:rFonts w:hint="eastAsia"/>
                <w:szCs w:val="21"/>
              </w:rPr>
              <w:t>萘、苊烯、苊、芴、菲、蒽、荧蒽、芘、苯并(a)蒽、䓛、苯并(b)荧蒽、苯并(k)荧蒽、苯并(a)芘、茚并(1,2,3-cd)芘、二苯并(a,h)蒽、苯并(g,h,i)芘等16种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4</w:t>
            </w:r>
          </w:p>
        </w:tc>
        <w:tc>
          <w:tcPr>
            <w:tcW w:w="1843" w:type="dxa"/>
            <w:vAlign w:val="center"/>
          </w:tcPr>
          <w:p>
            <w:pPr>
              <w:spacing w:line="288" w:lineRule="auto"/>
              <w:jc w:val="center"/>
              <w:rPr>
                <w:szCs w:val="21"/>
              </w:rPr>
            </w:pPr>
            <w:r>
              <w:rPr>
                <w:rFonts w:hint="eastAsia"/>
                <w:szCs w:val="21"/>
              </w:rPr>
              <w:t>有机氯农药</w:t>
            </w:r>
          </w:p>
        </w:tc>
        <w:tc>
          <w:tcPr>
            <w:tcW w:w="5862" w:type="dxa"/>
            <w:vAlign w:val="center"/>
          </w:tcPr>
          <w:p>
            <w:pPr>
              <w:spacing w:line="288" w:lineRule="auto"/>
              <w:rPr>
                <w:szCs w:val="21"/>
              </w:rPr>
            </w:pPr>
            <w:r>
              <w:rPr>
                <w:rFonts w:hint="eastAsia"/>
                <w:szCs w:val="21"/>
              </w:rPr>
              <w:t>六六六（</w:t>
            </w:r>
            <w:r>
              <w:rPr>
                <w:szCs w:val="21"/>
              </w:rPr>
              <w:t>α-</w:t>
            </w:r>
            <w:r>
              <w:rPr>
                <w:rFonts w:hint="eastAsia"/>
                <w:szCs w:val="21"/>
              </w:rPr>
              <w:t>六六六、</w:t>
            </w:r>
            <w:r>
              <w:rPr>
                <w:szCs w:val="21"/>
              </w:rPr>
              <w:t>β</w:t>
            </w:r>
            <w:r>
              <w:rPr>
                <w:rFonts w:hint="eastAsia"/>
                <w:szCs w:val="21"/>
              </w:rPr>
              <w:t>-六六六、</w:t>
            </w:r>
            <w:r>
              <w:rPr>
                <w:szCs w:val="21"/>
              </w:rPr>
              <w:t>γ</w:t>
            </w:r>
            <w:r>
              <w:rPr>
                <w:rFonts w:hint="eastAsia"/>
                <w:szCs w:val="21"/>
              </w:rPr>
              <w:t>-六六六、</w:t>
            </w:r>
            <w:r>
              <w:rPr>
                <w:szCs w:val="21"/>
              </w:rPr>
              <w:t>δ</w:t>
            </w:r>
            <w:r>
              <w:rPr>
                <w:rFonts w:hint="eastAsia"/>
                <w:szCs w:val="21"/>
              </w:rPr>
              <w:t>-六六六四种异构体）、滴滴涕（p,p</w:t>
            </w:r>
            <w:r>
              <w:rPr>
                <w:szCs w:val="21"/>
              </w:rPr>
              <w:t>’</w:t>
            </w:r>
            <w:r>
              <w:rPr>
                <w:rFonts w:hint="eastAsia"/>
                <w:szCs w:val="21"/>
              </w:rPr>
              <w:t>-DDE、p,p</w:t>
            </w:r>
            <w:r>
              <w:rPr>
                <w:szCs w:val="21"/>
              </w:rPr>
              <w:t>’</w:t>
            </w:r>
            <w:r>
              <w:rPr>
                <w:rFonts w:hint="eastAsia"/>
                <w:szCs w:val="21"/>
              </w:rPr>
              <w:t>-DDD、o,p</w:t>
            </w:r>
            <w:r>
              <w:rPr>
                <w:szCs w:val="21"/>
              </w:rPr>
              <w:t>’</w:t>
            </w:r>
            <w:r>
              <w:rPr>
                <w:rFonts w:hint="eastAsia"/>
                <w:szCs w:val="21"/>
              </w:rPr>
              <w:t>-DDT、p,p</w:t>
            </w:r>
            <w:r>
              <w:rPr>
                <w:szCs w:val="21"/>
              </w:rPr>
              <w:t>’</w:t>
            </w:r>
            <w:r>
              <w:rPr>
                <w:rFonts w:hint="eastAsia"/>
                <w:szCs w:val="21"/>
              </w:rPr>
              <w:t>-DDT四种衍生物）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5</w:t>
            </w:r>
          </w:p>
        </w:tc>
        <w:tc>
          <w:tcPr>
            <w:tcW w:w="1843" w:type="dxa"/>
            <w:vAlign w:val="center"/>
          </w:tcPr>
          <w:p>
            <w:pPr>
              <w:spacing w:line="288" w:lineRule="auto"/>
              <w:jc w:val="center"/>
              <w:rPr>
                <w:szCs w:val="21"/>
              </w:rPr>
            </w:pPr>
            <w:r>
              <w:rPr>
                <w:rFonts w:hint="eastAsia"/>
                <w:szCs w:val="21"/>
              </w:rPr>
              <w:t>酞酸酯类</w:t>
            </w:r>
          </w:p>
        </w:tc>
        <w:tc>
          <w:tcPr>
            <w:tcW w:w="5862" w:type="dxa"/>
            <w:vAlign w:val="center"/>
          </w:tcPr>
          <w:p>
            <w:pPr>
              <w:spacing w:line="288" w:lineRule="auto"/>
              <w:rPr>
                <w:szCs w:val="21"/>
              </w:rPr>
            </w:pPr>
            <w:r>
              <w:rPr>
                <w:rFonts w:hint="eastAsia"/>
                <w:szCs w:val="21"/>
              </w:rPr>
              <w:t>邻苯二甲酸二甲酯、邻苯二甲酸二乙酯、邻苯二甲酸二正丁酯、邻苯二甲酸二正辛酯、邻苯二甲酸双</w:t>
            </w:r>
            <w:r>
              <w:rPr>
                <w:szCs w:val="21"/>
              </w:rPr>
              <w:t>2-乙基己酯、邻苯二甲酸丁基苄基酯</w:t>
            </w:r>
            <w:r>
              <w:rPr>
                <w:rFonts w:hint="eastAsia"/>
                <w:szCs w:val="21"/>
              </w:rPr>
              <w:t>等6种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288" w:lineRule="auto"/>
              <w:jc w:val="center"/>
              <w:rPr>
                <w:szCs w:val="21"/>
              </w:rPr>
            </w:pPr>
            <w:r>
              <w:rPr>
                <w:rFonts w:hint="eastAsia"/>
                <w:szCs w:val="21"/>
              </w:rPr>
              <w:t>6</w:t>
            </w:r>
          </w:p>
        </w:tc>
        <w:tc>
          <w:tcPr>
            <w:tcW w:w="1843" w:type="dxa"/>
            <w:vAlign w:val="center"/>
          </w:tcPr>
          <w:p>
            <w:pPr>
              <w:spacing w:line="288" w:lineRule="auto"/>
              <w:jc w:val="center"/>
              <w:rPr>
                <w:szCs w:val="21"/>
              </w:rPr>
            </w:pPr>
            <w:r>
              <w:rPr>
                <w:rFonts w:hint="eastAsia"/>
                <w:szCs w:val="21"/>
              </w:rPr>
              <w:t>石油烃</w:t>
            </w:r>
          </w:p>
        </w:tc>
        <w:tc>
          <w:tcPr>
            <w:tcW w:w="5862" w:type="dxa"/>
            <w:vAlign w:val="center"/>
          </w:tcPr>
          <w:p>
            <w:pPr>
              <w:spacing w:line="288" w:lineRule="auto"/>
              <w:rPr>
                <w:szCs w:val="21"/>
              </w:rPr>
            </w:pPr>
            <w:r>
              <w:rPr>
                <w:rFonts w:hint="eastAsia"/>
                <w:szCs w:val="21"/>
              </w:rPr>
              <w:t>C10-C40含量</w:t>
            </w:r>
          </w:p>
        </w:tc>
      </w:tr>
    </w:tbl>
    <w:p>
      <w:pPr>
        <w:numPr>
          <w:ilvl w:val="0"/>
          <w:numId w:val="3"/>
        </w:numPr>
        <w:spacing w:line="360" w:lineRule="auto"/>
        <w:ind w:left="0" w:firstLine="420" w:firstLineChars="200"/>
        <w:rPr>
          <w:szCs w:val="21"/>
        </w:rPr>
      </w:pPr>
      <w:r>
        <w:rPr>
          <w:rFonts w:hint="eastAsia"/>
          <w:szCs w:val="21"/>
        </w:rPr>
        <w:t>数据上传及审核</w:t>
      </w:r>
    </w:p>
    <w:p>
      <w:pPr>
        <w:spacing w:line="360" w:lineRule="auto"/>
        <w:ind w:firstLine="420" w:firstLineChars="200"/>
        <w:rPr>
          <w:szCs w:val="21"/>
        </w:rPr>
      </w:pPr>
      <w:r>
        <w:rPr>
          <w:rFonts w:hint="eastAsia"/>
          <w:szCs w:val="21"/>
        </w:rPr>
        <w:t>按批次及时上报检测结果至深圳市土壤环境质量详查数据库，待市级质控实验室审核相关数据。对不符合质控要求的检测结果，应查明原因及时采取纠正措施，并对该批次样品重新分析测试。</w:t>
      </w:r>
    </w:p>
    <w:p>
      <w:pPr>
        <w:numPr>
          <w:ilvl w:val="0"/>
          <w:numId w:val="3"/>
        </w:numPr>
        <w:spacing w:line="360" w:lineRule="auto"/>
        <w:ind w:left="0" w:firstLine="420" w:firstLineChars="200"/>
        <w:rPr>
          <w:szCs w:val="21"/>
        </w:rPr>
      </w:pPr>
      <w:r>
        <w:rPr>
          <w:rFonts w:hint="eastAsia"/>
          <w:szCs w:val="21"/>
        </w:rPr>
        <w:t>样品保存</w:t>
      </w:r>
    </w:p>
    <w:p>
      <w:pPr>
        <w:spacing w:line="360" w:lineRule="auto"/>
        <w:ind w:firstLine="420" w:firstLineChars="200"/>
        <w:rPr>
          <w:szCs w:val="21"/>
        </w:rPr>
      </w:pPr>
      <w:r>
        <w:rPr>
          <w:szCs w:val="21"/>
        </w:rPr>
        <w:t>实验室样品保存条件与保存时间</w:t>
      </w:r>
      <w:r>
        <w:rPr>
          <w:rFonts w:hint="eastAsia"/>
          <w:szCs w:val="21"/>
        </w:rPr>
        <w:t>按照</w:t>
      </w:r>
      <w:r>
        <w:rPr>
          <w:szCs w:val="21"/>
        </w:rPr>
        <w:t>《土壤环境监测技术规范》(HJ/T 166-2004)</w:t>
      </w:r>
      <w:r>
        <w:rPr>
          <w:rFonts w:hint="eastAsia"/>
          <w:szCs w:val="21"/>
        </w:rPr>
        <w:t>等相关技术要求执行</w:t>
      </w:r>
      <w:r>
        <w:rPr>
          <w:szCs w:val="21"/>
        </w:rPr>
        <w:t>。需要长期保存</w:t>
      </w:r>
      <w:r>
        <w:rPr>
          <w:rFonts w:hint="eastAsia"/>
          <w:szCs w:val="21"/>
        </w:rPr>
        <w:t>的样品</w:t>
      </w:r>
      <w:r>
        <w:rPr>
          <w:szCs w:val="21"/>
        </w:rPr>
        <w:t>，</w:t>
      </w:r>
      <w:r>
        <w:rPr>
          <w:rFonts w:hint="eastAsia"/>
          <w:szCs w:val="21"/>
        </w:rPr>
        <w:t>按要求送至市级土壤样品库保存。</w:t>
      </w:r>
    </w:p>
    <w:p>
      <w:pPr>
        <w:numPr>
          <w:ilvl w:val="0"/>
          <w:numId w:val="3"/>
        </w:numPr>
        <w:spacing w:line="360" w:lineRule="auto"/>
        <w:ind w:left="0" w:firstLine="420" w:firstLineChars="200"/>
        <w:rPr>
          <w:szCs w:val="21"/>
        </w:rPr>
      </w:pPr>
      <w:r>
        <w:rPr>
          <w:rFonts w:hint="eastAsia"/>
          <w:szCs w:val="21"/>
        </w:rPr>
        <w:t>报告编制</w:t>
      </w:r>
    </w:p>
    <w:p>
      <w:pPr>
        <w:spacing w:line="360" w:lineRule="auto"/>
        <w:ind w:firstLine="420" w:firstLineChars="200"/>
        <w:rPr>
          <w:szCs w:val="21"/>
        </w:rPr>
      </w:pPr>
      <w:r>
        <w:rPr>
          <w:rFonts w:hint="eastAsia"/>
          <w:szCs w:val="21"/>
        </w:rPr>
        <w:t>按照《深圳市土壤环境详查质量保证与质量控制技术指南》有关要求，对最终报出的所有样品分析测试数据的可靠性和合理性进行全面综合的质量评估，编制质量评估总结报告。</w:t>
      </w:r>
    </w:p>
    <w:p>
      <w:pPr>
        <w:spacing w:line="360" w:lineRule="auto"/>
        <w:ind w:left="480"/>
        <w:rPr>
          <w:szCs w:val="21"/>
        </w:rPr>
      </w:pPr>
      <w:r>
        <w:rPr>
          <w:rFonts w:hint="eastAsia"/>
          <w:szCs w:val="21"/>
        </w:rPr>
        <w:t>（7）质量保证与质量控制</w:t>
      </w:r>
    </w:p>
    <w:p>
      <w:pPr>
        <w:spacing w:line="360" w:lineRule="auto"/>
        <w:ind w:firstLine="420" w:firstLineChars="200"/>
        <w:rPr>
          <w:szCs w:val="21"/>
        </w:rPr>
      </w:pPr>
      <w:r>
        <w:rPr>
          <w:rFonts w:hint="eastAsia"/>
          <w:szCs w:val="21"/>
        </w:rPr>
        <w:t>按照《深圳市土壤环境详查质量保证与质量控制技术指南》有关要求，对调查工作实施全过程质量控制管理，包括样品采集、样品制备与流转、样品分析测试、样品保存、数据与报告审核的质量控制管理。</w:t>
      </w:r>
    </w:p>
    <w:p>
      <w:pPr>
        <w:keepNext/>
        <w:keepLines/>
        <w:numPr>
          <w:ilvl w:val="0"/>
          <w:numId w:val="2"/>
        </w:numPr>
        <w:spacing w:before="120" w:after="120" w:line="360" w:lineRule="auto"/>
        <w:ind w:left="357" w:hanging="357"/>
        <w:outlineLvl w:val="2"/>
        <w:rPr>
          <w:bCs/>
          <w:szCs w:val="21"/>
        </w:rPr>
      </w:pPr>
      <w:r>
        <w:rPr>
          <w:rFonts w:hint="eastAsia"/>
          <w:bCs/>
          <w:szCs w:val="21"/>
        </w:rPr>
        <w:t>工作要求</w:t>
      </w:r>
    </w:p>
    <w:p>
      <w:pPr>
        <w:numPr>
          <w:ilvl w:val="0"/>
          <w:numId w:val="4"/>
        </w:numPr>
        <w:spacing w:line="360" w:lineRule="auto"/>
        <w:ind w:left="0" w:firstLine="420" w:firstLineChars="200"/>
        <w:rPr>
          <w:szCs w:val="21"/>
        </w:rPr>
      </w:pPr>
      <w:r>
        <w:rPr>
          <w:rFonts w:hint="eastAsia"/>
          <w:szCs w:val="21"/>
        </w:rPr>
        <w:t>本项目的样品采集、制备、流转、分析测试、保存等工作，必须严格按照采购方制定的《技术规定</w:t>
      </w:r>
      <w:r>
        <w:rPr>
          <w:szCs w:val="21"/>
        </w:rPr>
        <w:t>》</w:t>
      </w:r>
      <w:r>
        <w:rPr>
          <w:rFonts w:hint="eastAsia"/>
          <w:szCs w:val="21"/>
        </w:rPr>
        <w:t>中有关要求执行；</w:t>
      </w:r>
    </w:p>
    <w:p>
      <w:pPr>
        <w:numPr>
          <w:ilvl w:val="0"/>
          <w:numId w:val="4"/>
        </w:numPr>
        <w:spacing w:line="360" w:lineRule="auto"/>
        <w:ind w:left="0" w:firstLine="420" w:firstLineChars="200"/>
        <w:rPr>
          <w:szCs w:val="21"/>
        </w:rPr>
      </w:pPr>
      <w:r>
        <w:rPr>
          <w:rFonts w:hint="eastAsia"/>
          <w:szCs w:val="21"/>
        </w:rPr>
        <w:t>参与本项目的所有野外采样及分析测试人员，必须持证上岗；</w:t>
      </w:r>
    </w:p>
    <w:p>
      <w:pPr>
        <w:numPr>
          <w:ilvl w:val="0"/>
          <w:numId w:val="4"/>
        </w:numPr>
        <w:spacing w:line="360" w:lineRule="auto"/>
        <w:ind w:left="0" w:firstLine="420" w:firstLineChars="200"/>
        <w:rPr>
          <w:szCs w:val="21"/>
        </w:rPr>
      </w:pPr>
      <w:r>
        <w:rPr>
          <w:rFonts w:hint="eastAsia"/>
          <w:szCs w:val="21"/>
        </w:rPr>
        <w:t>布设点位数量不得低于50</w:t>
      </w:r>
      <w:r>
        <w:rPr>
          <w:szCs w:val="21"/>
        </w:rPr>
        <w:t>0</w:t>
      </w:r>
      <w:r>
        <w:rPr>
          <w:rFonts w:hint="eastAsia"/>
          <w:szCs w:val="21"/>
        </w:rPr>
        <w:t>个，其中，挖掘的土壤剖面不得低于5</w:t>
      </w:r>
      <w:r>
        <w:rPr>
          <w:szCs w:val="21"/>
        </w:rPr>
        <w:t>0</w:t>
      </w:r>
      <w:r>
        <w:rPr>
          <w:rFonts w:hint="eastAsia"/>
          <w:szCs w:val="21"/>
        </w:rPr>
        <w:t>个；采集表层土壤样品不得低于4</w:t>
      </w:r>
      <w:r>
        <w:rPr>
          <w:szCs w:val="21"/>
        </w:rPr>
        <w:t>50</w:t>
      </w:r>
      <w:r>
        <w:rPr>
          <w:rFonts w:hint="eastAsia"/>
          <w:szCs w:val="21"/>
        </w:rPr>
        <w:t>个，剖面土壤样品不得低于15</w:t>
      </w:r>
      <w:r>
        <w:rPr>
          <w:szCs w:val="21"/>
        </w:rPr>
        <w:t>0</w:t>
      </w:r>
      <w:r>
        <w:rPr>
          <w:rFonts w:hint="eastAsia"/>
          <w:szCs w:val="21"/>
        </w:rPr>
        <w:t>个。按照《深圳市土壤环境详查质量保证与质量控制技术指南》要求，采集和分析的无机密码平行样不得低于</w:t>
      </w:r>
      <w:r>
        <w:rPr>
          <w:szCs w:val="21"/>
        </w:rPr>
        <w:t>24</w:t>
      </w:r>
      <w:r>
        <w:rPr>
          <w:rFonts w:hint="eastAsia"/>
          <w:szCs w:val="21"/>
        </w:rPr>
        <w:t>个，有机密码平行样不得低于6</w:t>
      </w:r>
      <w:r>
        <w:rPr>
          <w:szCs w:val="21"/>
        </w:rPr>
        <w:t>0</w:t>
      </w:r>
      <w:r>
        <w:rPr>
          <w:rFonts w:hint="eastAsia"/>
          <w:szCs w:val="21"/>
        </w:rPr>
        <w:t>个；分析的无机统一监控样不得低于24个，</w:t>
      </w:r>
      <w:r>
        <w:rPr>
          <w:szCs w:val="21"/>
        </w:rPr>
        <w:t>有机</w:t>
      </w:r>
      <w:r>
        <w:rPr>
          <w:rFonts w:hint="eastAsia"/>
          <w:szCs w:val="21"/>
        </w:rPr>
        <w:t>统一监控样不得低于12个。原则上采集和分析测试的土壤有效样品（不含密码平行样和统一监控样等质量控制样品）数量不得低于6</w:t>
      </w:r>
      <w:r>
        <w:rPr>
          <w:szCs w:val="21"/>
        </w:rPr>
        <w:t>00</w:t>
      </w:r>
      <w:r>
        <w:rPr>
          <w:rFonts w:hint="eastAsia"/>
          <w:szCs w:val="21"/>
        </w:rPr>
        <w:t>个，采购方可根据实际需求适当增加土壤有效样品数，但增加样品数量一般不超过最低土壤有效样品总数的5%；</w:t>
      </w:r>
    </w:p>
    <w:p>
      <w:pPr>
        <w:numPr>
          <w:ilvl w:val="0"/>
          <w:numId w:val="4"/>
        </w:numPr>
        <w:spacing w:line="360" w:lineRule="auto"/>
        <w:ind w:left="0" w:firstLine="420" w:firstLineChars="200"/>
        <w:rPr>
          <w:szCs w:val="21"/>
        </w:rPr>
      </w:pPr>
      <w:r>
        <w:rPr>
          <w:rFonts w:hint="eastAsia"/>
          <w:szCs w:val="21"/>
        </w:rPr>
        <w:t>为确保工作质量，必须严格按照《深圳市土壤环境详查质量保证与质量控制技术指南》的相关规定执行任务，全程接受采购方和市级质控实验室的质量监督检查。</w:t>
      </w:r>
    </w:p>
    <w:p>
      <w:pPr>
        <w:keepNext/>
        <w:keepLines/>
        <w:numPr>
          <w:ilvl w:val="0"/>
          <w:numId w:val="2"/>
        </w:numPr>
        <w:spacing w:before="120" w:after="120" w:line="360" w:lineRule="auto"/>
        <w:ind w:left="357" w:hanging="357"/>
        <w:outlineLvl w:val="2"/>
        <w:rPr>
          <w:bCs/>
          <w:szCs w:val="21"/>
        </w:rPr>
      </w:pPr>
      <w:r>
        <w:rPr>
          <w:rFonts w:hint="eastAsia"/>
          <w:bCs/>
          <w:szCs w:val="21"/>
        </w:rPr>
        <w:t>提交成果要求</w:t>
      </w:r>
    </w:p>
    <w:p>
      <w:pPr>
        <w:spacing w:line="360" w:lineRule="auto"/>
        <w:ind w:firstLine="420" w:firstLineChars="200"/>
        <w:rPr>
          <w:szCs w:val="21"/>
        </w:rPr>
      </w:pPr>
      <w:r>
        <w:rPr>
          <w:rFonts w:hint="eastAsia"/>
          <w:szCs w:val="21"/>
        </w:rPr>
        <w:t>核心成果包括</w:t>
      </w:r>
      <w:r>
        <w:rPr>
          <w:szCs w:val="21"/>
        </w:rPr>
        <w:t>2</w:t>
      </w:r>
      <w:r>
        <w:rPr>
          <w:rFonts w:hint="eastAsia"/>
          <w:szCs w:val="21"/>
        </w:rPr>
        <w:t>份报告成果和1份数据成果：</w:t>
      </w:r>
    </w:p>
    <w:p>
      <w:pPr>
        <w:numPr>
          <w:ilvl w:val="0"/>
          <w:numId w:val="5"/>
        </w:numPr>
        <w:spacing w:line="360" w:lineRule="auto"/>
        <w:ind w:left="0" w:firstLine="420" w:firstLineChars="200"/>
        <w:rPr>
          <w:szCs w:val="21"/>
        </w:rPr>
      </w:pPr>
      <w:r>
        <w:rPr>
          <w:rFonts w:hint="eastAsia"/>
          <w:szCs w:val="21"/>
        </w:rPr>
        <w:t>《深圳市土壤环境背景样品采集与分析测试工作报告》；</w:t>
      </w:r>
    </w:p>
    <w:p>
      <w:pPr>
        <w:numPr>
          <w:ilvl w:val="0"/>
          <w:numId w:val="5"/>
        </w:numPr>
        <w:spacing w:line="360" w:lineRule="auto"/>
        <w:ind w:left="0" w:firstLine="420" w:firstLineChars="200"/>
        <w:rPr>
          <w:szCs w:val="21"/>
        </w:rPr>
      </w:pPr>
      <w:r>
        <w:rPr>
          <w:rFonts w:hint="eastAsia"/>
          <w:szCs w:val="21"/>
        </w:rPr>
        <w:t>《深圳市土壤环境背景样品分析检测质量评估总结报告》；</w:t>
      </w:r>
    </w:p>
    <w:p>
      <w:pPr>
        <w:numPr>
          <w:ilvl w:val="0"/>
          <w:numId w:val="5"/>
        </w:numPr>
        <w:spacing w:line="360" w:lineRule="auto"/>
        <w:ind w:left="0" w:firstLine="420" w:firstLineChars="200"/>
        <w:rPr>
          <w:szCs w:val="21"/>
        </w:rPr>
      </w:pPr>
      <w:r>
        <w:rPr>
          <w:rFonts w:hint="eastAsia"/>
          <w:szCs w:val="21"/>
        </w:rPr>
        <w:t>《深圳市土壤环境背景样品分析检测报告》。</w:t>
      </w:r>
    </w:p>
    <w:p>
      <w:pPr>
        <w:keepNext/>
        <w:keepLines/>
        <w:numPr>
          <w:ilvl w:val="0"/>
          <w:numId w:val="2"/>
        </w:numPr>
        <w:spacing w:before="120" w:after="120" w:line="360" w:lineRule="auto"/>
        <w:ind w:left="357" w:hanging="357"/>
        <w:outlineLvl w:val="2"/>
        <w:rPr>
          <w:bCs/>
          <w:szCs w:val="21"/>
        </w:rPr>
      </w:pPr>
      <w:r>
        <w:rPr>
          <w:rFonts w:hint="eastAsia"/>
          <w:bCs/>
          <w:szCs w:val="21"/>
        </w:rPr>
        <w:t>人员要求</w:t>
      </w:r>
    </w:p>
    <w:p>
      <w:pPr>
        <w:spacing w:line="360" w:lineRule="auto"/>
        <w:ind w:firstLine="420" w:firstLineChars="200"/>
        <w:rPr>
          <w:szCs w:val="21"/>
        </w:rPr>
      </w:pPr>
      <w:r>
        <w:rPr>
          <w:rFonts w:hint="eastAsia"/>
          <w:szCs w:val="21"/>
        </w:rPr>
        <w:t>为保证项目的顺利进行，中标方需组织一支具有丰富研究经验的工作团队来开展此项目，项目组负责人需要有丰富的土壤环境质量调查及监测经验。中标方需合理安排研究工作和时间节点，项目团队人员应分工明确，责任到人，同时还应互相协作，严格按照各项规章制度、工作流程、技术指南开展工作。</w:t>
      </w:r>
    </w:p>
    <w:p>
      <w:pPr>
        <w:ind w:firstLine="608" w:firstLineChars="202"/>
        <w:jc w:val="center"/>
        <w:rPr>
          <w:rFonts w:ascii="Calibri" w:hAnsi="Calibri"/>
          <w:b/>
          <w:sz w:val="30"/>
          <w:szCs w:val="30"/>
        </w:rPr>
      </w:pPr>
      <w:r>
        <w:rPr>
          <w:rFonts w:hint="eastAsia" w:ascii="Calibri" w:hAnsi="Calibri"/>
          <w:b/>
          <w:sz w:val="30"/>
          <w:szCs w:val="30"/>
        </w:rPr>
        <w:t>五、项目商务要求</w:t>
      </w:r>
    </w:p>
    <w:p>
      <w:pPr>
        <w:keepNext/>
        <w:keepLines/>
        <w:numPr>
          <w:ilvl w:val="0"/>
          <w:numId w:val="6"/>
        </w:numPr>
        <w:spacing w:before="120" w:after="120" w:line="360" w:lineRule="auto"/>
        <w:ind w:left="357" w:hanging="357"/>
        <w:outlineLvl w:val="2"/>
        <w:rPr>
          <w:bCs/>
          <w:szCs w:val="21"/>
        </w:rPr>
      </w:pPr>
      <w:r>
        <w:rPr>
          <w:rFonts w:hint="eastAsia"/>
          <w:bCs/>
          <w:szCs w:val="21"/>
        </w:rPr>
        <w:t>服务期限</w:t>
      </w:r>
    </w:p>
    <w:p>
      <w:pPr>
        <w:spacing w:line="360" w:lineRule="auto"/>
        <w:ind w:firstLine="420" w:firstLineChars="200"/>
        <w:rPr>
          <w:szCs w:val="21"/>
        </w:rPr>
      </w:pPr>
      <w:r>
        <w:rPr>
          <w:rFonts w:hint="eastAsia"/>
          <w:szCs w:val="21"/>
        </w:rPr>
        <w:t>合同签订后</w:t>
      </w:r>
      <w:r>
        <w:rPr>
          <w:szCs w:val="21"/>
        </w:rPr>
        <w:t>120</w:t>
      </w:r>
      <w:r>
        <w:rPr>
          <w:rFonts w:hint="eastAsia"/>
          <w:szCs w:val="21"/>
        </w:rPr>
        <w:t>个日历日完成所有工作内容。</w:t>
      </w:r>
    </w:p>
    <w:p>
      <w:pPr>
        <w:keepNext/>
        <w:keepLines/>
        <w:numPr>
          <w:ilvl w:val="0"/>
          <w:numId w:val="6"/>
        </w:numPr>
        <w:spacing w:before="120" w:after="120" w:line="360" w:lineRule="auto"/>
        <w:ind w:left="357" w:hanging="357"/>
        <w:outlineLvl w:val="2"/>
        <w:rPr>
          <w:bCs/>
          <w:szCs w:val="21"/>
        </w:rPr>
      </w:pPr>
      <w:r>
        <w:rPr>
          <w:rFonts w:hint="eastAsia"/>
          <w:bCs/>
          <w:szCs w:val="21"/>
        </w:rPr>
        <w:t>项目进度安排</w:t>
      </w:r>
    </w:p>
    <w:p>
      <w:pPr>
        <w:spacing w:line="360" w:lineRule="auto"/>
        <w:ind w:firstLine="420" w:firstLineChars="200"/>
        <w:rPr>
          <w:szCs w:val="21"/>
        </w:rPr>
      </w:pPr>
      <w:r>
        <w:rPr>
          <w:rFonts w:hint="eastAsia"/>
          <w:szCs w:val="21"/>
        </w:rPr>
        <w:t>合同签订后</w:t>
      </w:r>
      <w:r>
        <w:rPr>
          <w:szCs w:val="21"/>
        </w:rPr>
        <w:t>10</w:t>
      </w:r>
      <w:r>
        <w:rPr>
          <w:rFonts w:hint="eastAsia"/>
          <w:szCs w:val="21"/>
        </w:rPr>
        <w:t>个日历日内，完成土壤环境背景调查现场采集前期准备，制定工作计划及内部管理制度，组织对采样人员进行安全培训，准备现场采样物资，缴纳采样人员意外保险等。</w:t>
      </w:r>
    </w:p>
    <w:p>
      <w:pPr>
        <w:spacing w:line="360" w:lineRule="auto"/>
        <w:ind w:firstLine="420" w:firstLineChars="200"/>
        <w:rPr>
          <w:szCs w:val="21"/>
        </w:rPr>
      </w:pPr>
      <w:r>
        <w:rPr>
          <w:rFonts w:hint="eastAsia"/>
          <w:szCs w:val="21"/>
        </w:rPr>
        <w:t>合同签订后6</w:t>
      </w:r>
      <w:r>
        <w:rPr>
          <w:szCs w:val="21"/>
        </w:rPr>
        <w:t>0</w:t>
      </w:r>
      <w:r>
        <w:rPr>
          <w:rFonts w:hint="eastAsia"/>
          <w:szCs w:val="21"/>
        </w:rPr>
        <w:t>个日历日内，完成土壤环境背景调查</w:t>
      </w:r>
      <w:r>
        <w:rPr>
          <w:szCs w:val="21"/>
        </w:rPr>
        <w:t>60%</w:t>
      </w:r>
      <w:r>
        <w:rPr>
          <w:rFonts w:hint="eastAsia"/>
          <w:szCs w:val="21"/>
        </w:rPr>
        <w:t>样品采集和</w:t>
      </w:r>
      <w:r>
        <w:rPr>
          <w:szCs w:val="21"/>
        </w:rPr>
        <w:t>30%</w:t>
      </w:r>
      <w:r>
        <w:rPr>
          <w:rFonts w:hint="eastAsia"/>
          <w:szCs w:val="21"/>
        </w:rPr>
        <w:t>分析测试工作。</w:t>
      </w:r>
    </w:p>
    <w:p>
      <w:pPr>
        <w:spacing w:line="360" w:lineRule="auto"/>
        <w:ind w:firstLine="420" w:firstLineChars="200"/>
        <w:rPr>
          <w:szCs w:val="21"/>
        </w:rPr>
      </w:pPr>
      <w:r>
        <w:rPr>
          <w:rFonts w:hint="eastAsia"/>
          <w:szCs w:val="21"/>
        </w:rPr>
        <w:t>合同签订后</w:t>
      </w:r>
      <w:r>
        <w:rPr>
          <w:szCs w:val="21"/>
        </w:rPr>
        <w:t>90</w:t>
      </w:r>
      <w:r>
        <w:rPr>
          <w:rFonts w:hint="eastAsia"/>
          <w:szCs w:val="21"/>
        </w:rPr>
        <w:t>个日历日内，完成土壤环境背景调查所有样品采集和分析测试工作，并通过市级质控实验室审核。</w:t>
      </w:r>
    </w:p>
    <w:p>
      <w:pPr>
        <w:spacing w:line="360" w:lineRule="auto"/>
        <w:ind w:firstLine="420" w:firstLineChars="200"/>
        <w:rPr>
          <w:szCs w:val="21"/>
        </w:rPr>
      </w:pPr>
      <w:r>
        <w:rPr>
          <w:rFonts w:hint="eastAsia"/>
          <w:szCs w:val="21"/>
        </w:rPr>
        <w:t>合同签订后1</w:t>
      </w:r>
      <w:r>
        <w:rPr>
          <w:szCs w:val="21"/>
        </w:rPr>
        <w:t>20</w:t>
      </w:r>
      <w:r>
        <w:rPr>
          <w:rFonts w:hint="eastAsia"/>
          <w:szCs w:val="21"/>
        </w:rPr>
        <w:t>个日历日内，提交最终成果并完成样品入库保存工作。</w:t>
      </w:r>
    </w:p>
    <w:p>
      <w:pPr>
        <w:keepNext/>
        <w:keepLines/>
        <w:numPr>
          <w:ilvl w:val="0"/>
          <w:numId w:val="6"/>
        </w:numPr>
        <w:spacing w:before="120" w:after="120" w:line="360" w:lineRule="auto"/>
        <w:ind w:left="357" w:hanging="357"/>
        <w:outlineLvl w:val="2"/>
        <w:rPr>
          <w:bCs/>
          <w:szCs w:val="21"/>
        </w:rPr>
      </w:pPr>
      <w:r>
        <w:rPr>
          <w:rFonts w:hint="eastAsia"/>
          <w:bCs/>
          <w:szCs w:val="21"/>
        </w:rPr>
        <w:t>付款方式</w:t>
      </w:r>
    </w:p>
    <w:p>
      <w:pPr>
        <w:spacing w:line="360" w:lineRule="auto"/>
        <w:ind w:firstLine="420" w:firstLineChars="200"/>
        <w:rPr>
          <w:szCs w:val="21"/>
        </w:rPr>
      </w:pPr>
      <w:r>
        <w:rPr>
          <w:rFonts w:hint="eastAsia"/>
          <w:szCs w:val="21"/>
        </w:rPr>
        <w:t>按“三期”分期付款方式支付，具体支付方式和时间如下：</w:t>
      </w:r>
    </w:p>
    <w:p>
      <w:pPr>
        <w:numPr>
          <w:ilvl w:val="0"/>
          <w:numId w:val="7"/>
        </w:numPr>
        <w:spacing w:line="360" w:lineRule="auto"/>
        <w:ind w:left="0" w:firstLine="420" w:firstLineChars="200"/>
        <w:rPr>
          <w:szCs w:val="21"/>
        </w:rPr>
      </w:pPr>
      <w:r>
        <w:rPr>
          <w:rFonts w:hint="eastAsia"/>
          <w:szCs w:val="21"/>
        </w:rPr>
        <w:t>合同签订后1</w:t>
      </w:r>
      <w:r>
        <w:rPr>
          <w:szCs w:val="21"/>
        </w:rPr>
        <w:t>0</w:t>
      </w:r>
      <w:r>
        <w:rPr>
          <w:rFonts w:hint="eastAsia"/>
          <w:szCs w:val="21"/>
        </w:rPr>
        <w:t>个工作日内支付合同总价的4</w:t>
      </w:r>
      <w:r>
        <w:rPr>
          <w:szCs w:val="21"/>
        </w:rPr>
        <w:t>0%</w:t>
      </w:r>
      <w:r>
        <w:rPr>
          <w:rFonts w:hint="eastAsia"/>
          <w:szCs w:val="21"/>
        </w:rPr>
        <w:t>；</w:t>
      </w:r>
    </w:p>
    <w:p>
      <w:pPr>
        <w:numPr>
          <w:ilvl w:val="0"/>
          <w:numId w:val="7"/>
        </w:numPr>
        <w:spacing w:line="360" w:lineRule="auto"/>
        <w:ind w:left="0" w:firstLine="420" w:firstLineChars="200"/>
        <w:rPr>
          <w:szCs w:val="21"/>
        </w:rPr>
      </w:pPr>
      <w:r>
        <w:rPr>
          <w:rFonts w:hint="eastAsia"/>
          <w:szCs w:val="21"/>
        </w:rPr>
        <w:t>完成全部样品采集和分析测试，并通过市级质控实验室审核后支付合同总价的4</w:t>
      </w:r>
      <w:r>
        <w:rPr>
          <w:szCs w:val="21"/>
        </w:rPr>
        <w:t>0%</w:t>
      </w:r>
      <w:r>
        <w:rPr>
          <w:rFonts w:hint="eastAsia"/>
          <w:szCs w:val="21"/>
        </w:rPr>
        <w:t>；</w:t>
      </w:r>
    </w:p>
    <w:p>
      <w:pPr>
        <w:numPr>
          <w:ilvl w:val="0"/>
          <w:numId w:val="7"/>
        </w:numPr>
        <w:spacing w:line="360" w:lineRule="auto"/>
        <w:ind w:left="0" w:firstLine="420" w:firstLineChars="200"/>
        <w:rPr>
          <w:szCs w:val="21"/>
        </w:rPr>
      </w:pPr>
      <w:r>
        <w:rPr>
          <w:rFonts w:hint="eastAsia"/>
          <w:szCs w:val="21"/>
        </w:rPr>
        <w:t>完成样品入库保存，项目成果通过采购方验收通过后1</w:t>
      </w:r>
      <w:r>
        <w:rPr>
          <w:szCs w:val="21"/>
        </w:rPr>
        <w:t>0</w:t>
      </w:r>
      <w:r>
        <w:rPr>
          <w:rFonts w:hint="eastAsia"/>
          <w:szCs w:val="21"/>
        </w:rPr>
        <w:t>个工作日付清余款，即合同总价的2</w:t>
      </w:r>
      <w:r>
        <w:rPr>
          <w:szCs w:val="21"/>
        </w:rPr>
        <w:t>0%</w:t>
      </w:r>
      <w:r>
        <w:rPr>
          <w:rFonts w:hint="eastAsia"/>
          <w:szCs w:val="21"/>
        </w:rPr>
        <w:t>。</w:t>
      </w:r>
    </w:p>
    <w:p>
      <w:pPr>
        <w:keepNext/>
        <w:keepLines/>
        <w:numPr>
          <w:ilvl w:val="0"/>
          <w:numId w:val="6"/>
        </w:numPr>
        <w:spacing w:before="120" w:after="120" w:line="360" w:lineRule="auto"/>
        <w:ind w:left="357" w:hanging="357"/>
        <w:outlineLvl w:val="2"/>
        <w:rPr>
          <w:bCs/>
          <w:szCs w:val="21"/>
        </w:rPr>
      </w:pPr>
      <w:r>
        <w:rPr>
          <w:rFonts w:hint="eastAsia"/>
          <w:bCs/>
          <w:szCs w:val="21"/>
        </w:rPr>
        <w:t>验收方式</w:t>
      </w:r>
    </w:p>
    <w:p>
      <w:pPr>
        <w:spacing w:line="360" w:lineRule="auto"/>
        <w:ind w:firstLine="420" w:firstLineChars="200"/>
        <w:rPr>
          <w:szCs w:val="21"/>
        </w:rPr>
      </w:pPr>
      <w:r>
        <w:rPr>
          <w:rFonts w:hint="eastAsia"/>
          <w:szCs w:val="21"/>
        </w:rPr>
        <w:t>主要项目成果及各项专题服务需通过专家评审确认达到合同要求，并由采购方签署书面意见验收通过。</w:t>
      </w:r>
    </w:p>
    <w:p>
      <w:pPr>
        <w:keepNext/>
        <w:keepLines/>
        <w:numPr>
          <w:ilvl w:val="0"/>
          <w:numId w:val="6"/>
        </w:numPr>
        <w:spacing w:before="120" w:after="120" w:line="360" w:lineRule="auto"/>
        <w:ind w:left="357" w:hanging="357"/>
        <w:outlineLvl w:val="2"/>
        <w:rPr>
          <w:bCs/>
          <w:szCs w:val="21"/>
        </w:rPr>
      </w:pPr>
      <w:r>
        <w:rPr>
          <w:rFonts w:hint="eastAsia"/>
          <w:bCs/>
          <w:szCs w:val="21"/>
        </w:rPr>
        <w:t>培训要求</w:t>
      </w:r>
    </w:p>
    <w:p>
      <w:pPr>
        <w:spacing w:line="360" w:lineRule="auto"/>
        <w:ind w:firstLine="420" w:firstLineChars="200"/>
        <w:rPr>
          <w:szCs w:val="21"/>
        </w:rPr>
      </w:pPr>
      <w:r>
        <w:rPr>
          <w:rFonts w:hint="eastAsia"/>
          <w:szCs w:val="21"/>
        </w:rPr>
        <w:t>中标方需组织所有参与此项工作的人员进行项目技术培训，确保参与人员能满足相关工作技术要求，保证高质量完成任务。</w:t>
      </w:r>
    </w:p>
    <w:p>
      <w:pPr>
        <w:keepNext/>
        <w:keepLines/>
        <w:numPr>
          <w:ilvl w:val="0"/>
          <w:numId w:val="6"/>
        </w:numPr>
        <w:spacing w:before="120" w:after="120" w:line="360" w:lineRule="auto"/>
        <w:ind w:left="357" w:hanging="357"/>
        <w:outlineLvl w:val="2"/>
        <w:rPr>
          <w:bCs/>
          <w:szCs w:val="21"/>
        </w:rPr>
      </w:pPr>
      <w:r>
        <w:rPr>
          <w:rFonts w:hint="eastAsia"/>
          <w:bCs/>
          <w:szCs w:val="21"/>
        </w:rPr>
        <w:t>安全要求</w:t>
      </w:r>
    </w:p>
    <w:p>
      <w:pPr>
        <w:spacing w:line="360" w:lineRule="auto"/>
        <w:ind w:firstLine="420" w:firstLineChars="200"/>
        <w:rPr>
          <w:szCs w:val="21"/>
        </w:rPr>
      </w:pPr>
      <w:r>
        <w:rPr>
          <w:rFonts w:hint="eastAsia"/>
          <w:szCs w:val="21"/>
        </w:rPr>
        <w:t>中标方需组织所有参与此项目的人员进行安全培训，购买相关意外保险并配备劳保用品，确保现场不发生安全事故。</w:t>
      </w:r>
    </w:p>
    <w:p>
      <w:pPr>
        <w:keepNext/>
        <w:keepLines/>
        <w:numPr>
          <w:ilvl w:val="0"/>
          <w:numId w:val="6"/>
        </w:numPr>
        <w:spacing w:before="120" w:after="120" w:line="360" w:lineRule="auto"/>
        <w:ind w:left="357" w:hanging="357"/>
        <w:outlineLvl w:val="2"/>
        <w:rPr>
          <w:bCs/>
          <w:szCs w:val="21"/>
        </w:rPr>
      </w:pPr>
      <w:r>
        <w:rPr>
          <w:rFonts w:hint="eastAsia"/>
          <w:bCs/>
          <w:szCs w:val="21"/>
        </w:rPr>
        <w:t>售后服务要求</w:t>
      </w:r>
    </w:p>
    <w:p>
      <w:pPr>
        <w:spacing w:line="360" w:lineRule="auto"/>
        <w:ind w:firstLine="420" w:firstLineChars="200"/>
        <w:rPr>
          <w:szCs w:val="21"/>
        </w:rPr>
      </w:pPr>
      <w:r>
        <w:rPr>
          <w:rFonts w:hint="eastAsia"/>
          <w:szCs w:val="21"/>
        </w:rPr>
        <w:t>售后服务期限内提供数据更新、相关咨询、协调和项目审查等技术支持。项目由采购方验收通过后进入售后服务期，售后服务内容要求主要包括技术支持等。本项目的售后服务时间为1年。</w:t>
      </w:r>
    </w:p>
    <w:p>
      <w:pPr>
        <w:keepNext/>
        <w:keepLines/>
        <w:numPr>
          <w:ilvl w:val="0"/>
          <w:numId w:val="6"/>
        </w:numPr>
        <w:spacing w:before="120" w:after="120" w:line="360" w:lineRule="auto"/>
        <w:ind w:left="357" w:hanging="357"/>
        <w:outlineLvl w:val="2"/>
        <w:rPr>
          <w:bCs/>
          <w:szCs w:val="21"/>
        </w:rPr>
      </w:pPr>
      <w:r>
        <w:rPr>
          <w:rFonts w:hint="eastAsia"/>
          <w:bCs/>
          <w:szCs w:val="21"/>
        </w:rPr>
        <w:t>保密要求</w:t>
      </w:r>
    </w:p>
    <w:p>
      <w:pPr>
        <w:spacing w:line="360" w:lineRule="auto"/>
        <w:ind w:firstLine="420" w:firstLineChars="200"/>
        <w:rPr>
          <w:szCs w:val="21"/>
        </w:rPr>
        <w:sectPr>
          <w:footerReference r:id="rId3" w:type="default"/>
          <w:pgSz w:w="11906" w:h="16838"/>
          <w:pgMar w:top="1440" w:right="1800" w:bottom="1440" w:left="1800" w:header="851" w:footer="992" w:gutter="0"/>
          <w:cols w:space="425" w:num="1"/>
          <w:docGrid w:type="lines" w:linePitch="312" w:charSpace="0"/>
        </w:sectPr>
      </w:pPr>
      <w:r>
        <w:rPr>
          <w:rFonts w:hint="eastAsia"/>
          <w:szCs w:val="21"/>
        </w:rPr>
        <w:t>由采购方收集的、开发的、整理的、复制的、研究的和准备的与本合同项下工作有关的所有资料在提供给中标方时，均被视为保密资料，不得泄露给除采购方或其指定的代表之外的任何人、企业或公司，不管本合同因何种原因终止，本条款一直约束中标方；中标方在履行合同过程中所获得或接触到的任何内部数据资料，未经采购方同意，不得向第三方透露；中标方实施项目的一切程序都应符合国家安全、保密的有关规定和标号招标文件、中标方投标文件，国家和行业有关规范、规程和标准。</w:t>
      </w:r>
    </w:p>
    <w:p>
      <w:pPr>
        <w:pStyle w:val="2"/>
        <w:numPr>
          <w:ilvl w:val="0"/>
          <w:numId w:val="8"/>
        </w:numPr>
        <w:spacing w:before="156" w:beforeLines="50" w:after="156" w:afterLines="50"/>
        <w:rPr>
          <w:b/>
          <w:bCs/>
          <w:sz w:val="28"/>
          <w:szCs w:val="28"/>
        </w:rPr>
      </w:pPr>
      <w:r>
        <w:rPr>
          <w:rFonts w:hint="eastAsia"/>
          <w:b/>
          <w:bCs/>
          <w:sz w:val="28"/>
          <w:szCs w:val="28"/>
        </w:rPr>
        <w:t>报价要求</w:t>
      </w:r>
    </w:p>
    <w:p>
      <w:pPr>
        <w:numPr>
          <w:ilvl w:val="0"/>
          <w:numId w:val="9"/>
        </w:numPr>
        <w:spacing w:line="360" w:lineRule="auto"/>
        <w:ind w:left="0" w:firstLine="480" w:firstLineChars="200"/>
        <w:rPr>
          <w:sz w:val="24"/>
        </w:rPr>
      </w:pPr>
      <w:r>
        <w:rPr>
          <w:rFonts w:hint="eastAsia"/>
          <w:sz w:val="24"/>
        </w:rPr>
        <w:t>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numPr>
          <w:ilvl w:val="0"/>
          <w:numId w:val="9"/>
        </w:numPr>
        <w:spacing w:line="360" w:lineRule="auto"/>
        <w:ind w:left="0" w:firstLine="480" w:firstLineChars="200"/>
        <w:rPr>
          <w:sz w:val="24"/>
        </w:rPr>
      </w:pPr>
      <w:r>
        <w:rPr>
          <w:rFonts w:hint="eastAsia"/>
          <w:sz w:val="24"/>
        </w:rPr>
        <w:t>投标人应根据本企业的成本自行决定报价，但不得以低于其企业成本的报价投标，投标总价低于预算限额7</w:t>
      </w:r>
      <w:r>
        <w:rPr>
          <w:sz w:val="24"/>
        </w:rPr>
        <w:t>0%</w:t>
      </w:r>
      <w:r>
        <w:rPr>
          <w:rFonts w:hint="eastAsia"/>
          <w:sz w:val="24"/>
        </w:rPr>
        <w:t>的、未作出报价合理性说明的，评委会有权认定为该报价低于成本价，并按投标无效处理，供应商的报价说明是否合理，由评委会判定；</w:t>
      </w:r>
    </w:p>
    <w:p>
      <w:pPr>
        <w:numPr>
          <w:ilvl w:val="0"/>
          <w:numId w:val="9"/>
        </w:numPr>
        <w:spacing w:line="360" w:lineRule="auto"/>
        <w:ind w:left="0" w:firstLine="480" w:firstLineChars="200"/>
        <w:rPr>
          <w:sz w:val="24"/>
        </w:rPr>
      </w:pPr>
      <w:r>
        <w:rPr>
          <w:rFonts w:hint="eastAsia"/>
          <w:sz w:val="24"/>
        </w:rPr>
        <w:t>投标人的投标报价不得超过预算限额；</w:t>
      </w:r>
    </w:p>
    <w:p>
      <w:pPr>
        <w:numPr>
          <w:ilvl w:val="0"/>
          <w:numId w:val="9"/>
        </w:numPr>
        <w:spacing w:line="360" w:lineRule="auto"/>
        <w:ind w:left="0" w:firstLine="480" w:firstLineChars="200"/>
        <w:rPr>
          <w:sz w:val="24"/>
        </w:rPr>
      </w:pPr>
      <w:r>
        <w:rPr>
          <w:rFonts w:hint="eastAsia"/>
          <w:sz w:val="24"/>
        </w:rPr>
        <w:t>投标人的投标报价，应是本项目招标范围和招标文件及合同条款上所列的各项内容中所述的全部，不得以任何理由予以重复，并以投标人在中提出的综合单价或总价为依据。</w:t>
      </w:r>
    </w:p>
    <w:p>
      <w:pPr>
        <w:numPr>
          <w:ilvl w:val="0"/>
          <w:numId w:val="9"/>
        </w:numPr>
        <w:spacing w:line="360" w:lineRule="auto"/>
        <w:ind w:left="0" w:firstLine="480" w:firstLineChars="200"/>
        <w:rPr>
          <w:sz w:val="24"/>
        </w:rPr>
      </w:pPr>
      <w:r>
        <w:rPr>
          <w:rFonts w:hint="eastAsia"/>
          <w:sz w:val="24"/>
        </w:rPr>
        <w:t>除非采购机构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pPr>
        <w:numPr>
          <w:ilvl w:val="0"/>
          <w:numId w:val="9"/>
        </w:numPr>
        <w:spacing w:line="360" w:lineRule="auto"/>
        <w:ind w:left="0" w:firstLine="480" w:firstLineChars="200"/>
        <w:rPr>
          <w:sz w:val="24"/>
        </w:rPr>
      </w:pPr>
      <w:r>
        <w:rPr>
          <w:rFonts w:hint="eastAsia"/>
          <w:sz w:val="24"/>
        </w:rPr>
        <w:t>投标人应先到项目地点踏勘以充分了解项目的位置、情况、道路及任何其它足以影响投标报价的情况，任何因忽视或误解项目情况而导致的索赔或服务期限延长申请将不获批准；</w:t>
      </w:r>
    </w:p>
    <w:p>
      <w:pPr>
        <w:numPr>
          <w:ilvl w:val="0"/>
          <w:numId w:val="9"/>
        </w:numPr>
        <w:spacing w:line="360" w:lineRule="auto"/>
        <w:ind w:left="0" w:firstLine="480" w:firstLineChars="200"/>
        <w:rPr>
          <w:sz w:val="24"/>
        </w:rPr>
      </w:pPr>
      <w:r>
        <w:rPr>
          <w:rFonts w:hint="eastAsia"/>
          <w:sz w:val="24"/>
        </w:rPr>
        <w:t>投标人不得期望通过索赔等方式获取补偿，否则，除可能遭到拒绝外，还可能被视为不良行为记录在案，并可能影响其以后参加政府采购的项目投标。各投标人在投标报价时，应充分考虑投标报价的风险。</w:t>
      </w:r>
    </w:p>
    <w:p/>
    <w:p/>
    <w:p/>
    <w:p/>
    <w:p>
      <w:pPr>
        <w:pStyle w:val="2"/>
        <w:spacing w:before="156" w:beforeLines="50" w:after="156" w:afterLines="50"/>
        <w:rPr>
          <w:b/>
          <w:bCs/>
          <w:sz w:val="28"/>
          <w:szCs w:val="28"/>
        </w:rPr>
      </w:pPr>
      <w:r>
        <w:rPr>
          <w:rFonts w:hint="eastAsia"/>
          <w:b/>
          <w:bCs/>
          <w:sz w:val="28"/>
          <w:szCs w:val="28"/>
        </w:rPr>
        <w:t>七、注意事项</w:t>
      </w:r>
    </w:p>
    <w:p>
      <w:pPr>
        <w:pStyle w:val="5"/>
        <w:ind w:firstLine="392" w:firstLineChars="187"/>
        <w:rPr>
          <w:rFonts w:ascii="宋体" w:hAnsi="宋体"/>
          <w:szCs w:val="21"/>
        </w:rPr>
      </w:pPr>
      <w:r>
        <w:rPr>
          <w:rFonts w:hint="eastAsia" w:ascii="宋体" w:hAnsi="宋体"/>
          <w:szCs w:val="21"/>
        </w:rPr>
        <w:t>1、</w:t>
      </w:r>
      <w:r>
        <w:rPr>
          <w:rFonts w:ascii="宋体" w:hAnsi="宋体"/>
          <w:szCs w:val="21"/>
        </w:rPr>
        <w:t>中标人不得将项目非法分包或转包给任何单位和个人。否则，采购单位有权即刻终止合同，并要求中标人赔偿相应损失。</w:t>
      </w:r>
    </w:p>
    <w:p>
      <w:pPr>
        <w:pStyle w:val="5"/>
        <w:ind w:firstLine="392" w:firstLineChars="187"/>
        <w:rPr>
          <w:rFonts w:ascii="宋体" w:hAnsi="宋体"/>
          <w:szCs w:val="21"/>
        </w:rPr>
      </w:pPr>
      <w:r>
        <w:rPr>
          <w:rFonts w:hint="eastAsia" w:ascii="宋体" w:hAnsi="宋体"/>
          <w:szCs w:val="21"/>
        </w:rPr>
        <w:t>2、投标人若认为招标文件的技术要求或其他要求有倾向性或不公正性，可在招标答疑阶段提出，以维护招标行为的公平、公正。</w:t>
      </w:r>
    </w:p>
    <w:p>
      <w:pPr>
        <w:pStyle w:val="5"/>
        <w:ind w:firstLine="392" w:firstLineChars="187"/>
        <w:rPr>
          <w:rFonts w:ascii="宋体" w:hAnsi="宋体"/>
          <w:szCs w:val="21"/>
        </w:rPr>
      </w:pPr>
      <w:r>
        <w:rPr>
          <w:rFonts w:hint="eastAsia" w:ascii="宋体" w:hAnsi="宋体"/>
          <w:szCs w:val="21"/>
        </w:rPr>
        <w:t>3、投标人使用的标准必须是国际公认或国家、或地方政府颁布的同等或更高的标准，如投标人使用的标准低于上述标准,评标委员会将有权不予接受，投标人必须列表将明显的差异详细说明。</w:t>
      </w:r>
    </w:p>
    <w:p>
      <w:pPr>
        <w:ind w:firstLine="411" w:firstLineChars="196"/>
        <w:rPr>
          <w:rFonts w:ascii="宋体" w:hAnsi="宋体"/>
          <w:szCs w:val="21"/>
        </w:rPr>
      </w:pPr>
      <w:r>
        <w:rPr>
          <w:rFonts w:hint="eastAsia" w:ascii="宋体" w:hAnsi="宋体"/>
          <w:szCs w:val="21"/>
        </w:rPr>
        <w:t>4、投标人所提交的投标文件对技术参数和各项要求的响应应列出具体内容。如果投标人只注明“符合”或“满足”，将被视为“不符合”，并可能严重影响评标结果。</w:t>
      </w:r>
    </w:p>
    <w:p>
      <w:pPr>
        <w:ind w:firstLine="411" w:firstLineChars="196"/>
        <w:rPr>
          <w:rFonts w:ascii="宋体" w:hAnsi="宋体"/>
          <w:szCs w:val="21"/>
        </w:rPr>
      </w:pPr>
      <w:r>
        <w:rPr>
          <w:rFonts w:hint="eastAsia" w:ascii="宋体" w:hAnsi="宋体"/>
          <w:szCs w:val="21"/>
        </w:rPr>
        <w:t>5. 综合实力部分评分中出现无证明资料或专家无法凭所提供资料判断是否得分的情况，一律作不得分处理。</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948514"/>
    </w:sdtPr>
    <w:sdtEndPr>
      <w:rPr>
        <w:sz w:val="20"/>
      </w:rPr>
    </w:sdtEndPr>
    <w:sdtContent>
      <w:p>
        <w:pPr>
          <w:pStyle w:val="6"/>
          <w:jc w:val="center"/>
          <w:rPr>
            <w:sz w:val="20"/>
          </w:rPr>
        </w:pPr>
        <w:r>
          <w:rPr>
            <w:sz w:val="20"/>
          </w:rPr>
          <w:fldChar w:fldCharType="begin"/>
        </w:r>
        <w:r>
          <w:rPr>
            <w:sz w:val="20"/>
          </w:rPr>
          <w:instrText xml:space="preserve">PAGE   \* MERGEFORMAT</w:instrText>
        </w:r>
        <w:r>
          <w:rPr>
            <w:sz w:val="20"/>
          </w:rPr>
          <w:fldChar w:fldCharType="separate"/>
        </w:r>
        <w:r>
          <w:rPr>
            <w:sz w:val="20"/>
            <w:lang w:val="zh-CN"/>
          </w:rPr>
          <w:t>19</w:t>
        </w:r>
        <w:r>
          <w:rPr>
            <w:sz w:val="20"/>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E54CA"/>
    <w:multiLevelType w:val="singleLevel"/>
    <w:tmpl w:val="F6BE54CA"/>
    <w:lvl w:ilvl="0" w:tentative="0">
      <w:start w:val="6"/>
      <w:numFmt w:val="chineseCounting"/>
      <w:suff w:val="nothing"/>
      <w:lvlText w:val="%1、"/>
      <w:lvlJc w:val="left"/>
      <w:rPr>
        <w:rFonts w:hint="eastAsia"/>
      </w:rPr>
    </w:lvl>
  </w:abstractNum>
  <w:abstractNum w:abstractNumId="1">
    <w:nsid w:val="04E326C8"/>
    <w:multiLevelType w:val="multilevel"/>
    <w:tmpl w:val="04E326C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581437F"/>
    <w:multiLevelType w:val="multilevel"/>
    <w:tmpl w:val="058143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427378"/>
    <w:multiLevelType w:val="multilevel"/>
    <w:tmpl w:val="10427378"/>
    <w:lvl w:ilvl="0" w:tentative="0">
      <w:start w:val="1"/>
      <w:numFmt w:val="decimalEnclosedCircle"/>
      <w:lvlText w:val="%1"/>
      <w:lvlJc w:val="left"/>
      <w:pPr>
        <w:ind w:left="840" w:hanging="360"/>
      </w:pPr>
      <w:rPr>
        <w:rFonts w:hint="default" w:ascii="宋体" w:hAnsi="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A20061A"/>
    <w:multiLevelType w:val="multilevel"/>
    <w:tmpl w:val="1A20061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1B885529"/>
    <w:multiLevelType w:val="multilevel"/>
    <w:tmpl w:val="1B88552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67507E8"/>
    <w:multiLevelType w:val="multilevel"/>
    <w:tmpl w:val="267507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AE60B2"/>
    <w:multiLevelType w:val="multilevel"/>
    <w:tmpl w:val="2FAE60B2"/>
    <w:lvl w:ilvl="0" w:tentative="0">
      <w:start w:val="1"/>
      <w:numFmt w:val="decimal"/>
      <w:lvlText w:val="（%1）"/>
      <w:lvlJc w:val="left"/>
      <w:pPr>
        <w:ind w:left="720" w:hanging="72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BD739BA"/>
    <w:multiLevelType w:val="multilevel"/>
    <w:tmpl w:val="4BD739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D8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3"/>
    <w:next w:val="4"/>
    <w:qFormat/>
    <w:uiPriority w:val="0"/>
    <w:pPr>
      <w:adjustRightInd w:val="0"/>
      <w:jc w:val="center"/>
      <w:textAlignment w:val="baseline"/>
      <w:outlineLvl w:val="1"/>
    </w:pPr>
    <w:rPr>
      <w:kern w:val="0"/>
      <w:sz w:val="24"/>
      <w:szCs w:val="20"/>
    </w:rPr>
  </w:style>
  <w:style w:type="paragraph" w:styleId="3">
    <w:name w:val="heading 3"/>
    <w:basedOn w:val="1"/>
    <w:next w:val="1"/>
    <w:qFormat/>
    <w:uiPriority w:val="0"/>
    <w:pPr>
      <w:spacing w:before="260" w:after="260"/>
      <w:outlineLvl w:val="2"/>
    </w:pPr>
    <w:rPr>
      <w:rFonts w:ascii="宋体" w:hAnsi="宋体"/>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footer"/>
    <w:basedOn w:val="1"/>
    <w:qFormat/>
    <w:uiPriority w:val="0"/>
    <w:pPr>
      <w:tabs>
        <w:tab w:val="center" w:pos="4153"/>
        <w:tab w:val="right" w:pos="8306"/>
      </w:tabs>
      <w:snapToGrid w:val="0"/>
      <w:jc w:val="left"/>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 F 。</cp:lastModifiedBy>
  <dcterms:modified xsi:type="dcterms:W3CDTF">2018-05-18T01:26:11Z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