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eastAsia="黑体"/>
          <w:b/>
          <w:color w:val="auto"/>
          <w:sz w:val="36"/>
          <w:highlight w:val="none"/>
          <w:lang w:val="en-US" w:eastAsia="zh-CN"/>
        </w:rPr>
      </w:pPr>
      <w:r>
        <w:rPr>
          <w:rFonts w:hint="eastAsia" w:eastAsia="黑体"/>
          <w:b/>
          <w:color w:val="auto"/>
          <w:sz w:val="28"/>
          <w:highlight w:val="none"/>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8"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highlight w:val="none"/>
        </w:rPr>
      </w:pPr>
    </w:p>
    <w:p>
      <w:pPr>
        <w:rPr>
          <w:color w:val="auto"/>
          <w:highlight w:val="none"/>
        </w:rPr>
      </w:pPr>
    </w:p>
    <w:p>
      <w:pPr>
        <w:rPr>
          <w:color w:val="auto"/>
          <w:highlight w:val="none"/>
        </w:rPr>
      </w:pPr>
    </w:p>
    <w:p>
      <w:pPr>
        <w:rPr>
          <w:color w:val="auto"/>
          <w:highlight w:val="none"/>
        </w:rPr>
      </w:pPr>
    </w:p>
    <w:p>
      <w:pPr>
        <w:jc w:val="center"/>
        <w:rPr>
          <w:rFonts w:ascii="黑体" w:eastAsia="黑体"/>
          <w:b/>
          <w:color w:val="auto"/>
          <w:sz w:val="72"/>
          <w:szCs w:val="32"/>
          <w:highlight w:val="none"/>
        </w:rPr>
      </w:pPr>
      <w:r>
        <w:rPr>
          <w:rFonts w:hint="eastAsia" w:ascii="黑体" w:eastAsia="黑体"/>
          <w:b/>
          <w:color w:val="auto"/>
          <w:sz w:val="72"/>
          <w:szCs w:val="32"/>
          <w:highlight w:val="none"/>
          <w:lang w:eastAsia="zh-CN"/>
        </w:rPr>
        <w:t>国内</w:t>
      </w:r>
      <w:r>
        <w:rPr>
          <w:rFonts w:hint="eastAsia" w:ascii="黑体" w:eastAsia="黑体"/>
          <w:b/>
          <w:color w:val="auto"/>
          <w:sz w:val="72"/>
          <w:szCs w:val="32"/>
          <w:highlight w:val="none"/>
        </w:rPr>
        <w:t>采购</w:t>
      </w:r>
    </w:p>
    <w:p>
      <w:pPr>
        <w:jc w:val="center"/>
        <w:rPr>
          <w:b/>
          <w:color w:val="auto"/>
          <w:sz w:val="72"/>
          <w:szCs w:val="32"/>
          <w:highlight w:val="none"/>
        </w:rPr>
      </w:pPr>
      <w:r>
        <w:rPr>
          <w:rFonts w:hint="eastAsia" w:ascii="黑体" w:eastAsia="黑体"/>
          <w:b/>
          <w:color w:val="auto"/>
          <w:sz w:val="72"/>
          <w:szCs w:val="32"/>
          <w:highlight w:val="none"/>
        </w:rPr>
        <w:t>公开招标文件</w:t>
      </w:r>
    </w:p>
    <w:p>
      <w:pPr>
        <w:jc w:val="center"/>
        <w:rPr>
          <w:color w:val="auto"/>
          <w:highlight w:val="none"/>
        </w:rPr>
      </w:pPr>
    </w:p>
    <w:p>
      <w:pPr>
        <w:jc w:val="center"/>
        <w:rPr>
          <w:color w:val="auto"/>
          <w:highlight w:val="none"/>
        </w:rPr>
      </w:pPr>
    </w:p>
    <w:p>
      <w:pPr>
        <w:rPr>
          <w:color w:val="auto"/>
          <w:highlight w:val="none"/>
        </w:rPr>
      </w:pPr>
    </w:p>
    <w:tbl>
      <w:tblPr>
        <w:tblStyle w:val="19"/>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rPr>
            </w:pPr>
            <w:r>
              <w:rPr>
                <w:rFonts w:hint="eastAsia" w:ascii="黑体" w:hAnsi="黑体" w:eastAsia="黑体" w:cs="黑体"/>
                <w:bCs/>
                <w:color w:val="auto"/>
                <w:sz w:val="32"/>
                <w:szCs w:val="24"/>
                <w:highlight w:val="none"/>
                <w:vertAlign w:val="baseline"/>
              </w:rPr>
              <w:t>东莞体育运动学校2021年运动服装及羽毛球器材采购项目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rPr>
            </w:pPr>
            <w:r>
              <w:rPr>
                <w:rFonts w:hint="eastAsia" w:ascii="黑体" w:hAnsi="黑体" w:eastAsia="黑体" w:cs="黑体"/>
                <w:bCs/>
                <w:color w:val="auto"/>
                <w:sz w:val="32"/>
                <w:szCs w:val="24"/>
                <w:highlight w:val="none"/>
                <w:vertAlign w:val="baseline"/>
              </w:rPr>
              <w:t>0832-SFCX21DG090A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rPr>
            </w:pPr>
            <w:r>
              <w:rPr>
                <w:rFonts w:hint="eastAsia" w:ascii="黑体" w:hAnsi="黑体" w:eastAsia="黑体" w:cs="黑体"/>
                <w:bCs/>
                <w:color w:val="auto"/>
                <w:sz w:val="32"/>
                <w:szCs w:val="24"/>
                <w:highlight w:val="none"/>
                <w:vertAlign w:val="baseline"/>
              </w:rPr>
              <w:t xml:space="preserve">东莞体育运动学校 </w:t>
            </w:r>
          </w:p>
        </w:tc>
      </w:tr>
    </w:tbl>
    <w:p>
      <w:pPr>
        <w:rPr>
          <w:rFonts w:ascii="Arial" w:hAnsi="Arial" w:eastAsia="黑体" w:cs="Arial"/>
          <w:bCs/>
          <w:color w:val="auto"/>
          <w:sz w:val="28"/>
          <w:highlight w:val="none"/>
        </w:rPr>
      </w:pPr>
      <w:r>
        <w:rPr>
          <w:rFonts w:hint="eastAsia" w:ascii="Arial" w:hAnsi="Arial" w:eastAsia="黑体" w:cs="Arial"/>
          <w:bCs/>
          <w:color w:val="auto"/>
          <w:sz w:val="28"/>
          <w:highlight w:val="none"/>
        </w:rPr>
        <w:t xml:space="preserve"> </w:t>
      </w:r>
    </w:p>
    <w:p>
      <w:pPr>
        <w:jc w:val="both"/>
        <w:rPr>
          <w:rFonts w:ascii="黑体" w:eastAsia="黑体"/>
          <w:color w:val="auto"/>
          <w:szCs w:val="21"/>
          <w:highlight w:val="none"/>
        </w:rPr>
      </w:pPr>
    </w:p>
    <w:p>
      <w:pPr>
        <w:jc w:val="center"/>
        <w:rPr>
          <w:rFonts w:ascii="黑体" w:eastAsia="黑体"/>
          <w:color w:val="auto"/>
          <w:szCs w:val="21"/>
          <w:highlight w:val="none"/>
        </w:rPr>
      </w:pPr>
    </w:p>
    <w:p>
      <w:pPr>
        <w:jc w:val="both"/>
        <w:rPr>
          <w:rFonts w:ascii="黑体" w:eastAsia="黑体"/>
          <w:color w:val="auto"/>
          <w:szCs w:val="21"/>
          <w:highlight w:val="none"/>
        </w:rPr>
      </w:pPr>
    </w:p>
    <w:p>
      <w:pPr>
        <w:jc w:val="center"/>
        <w:rPr>
          <w:rFonts w:hint="eastAsia" w:ascii="黑体" w:eastAsia="黑体"/>
          <w:color w:val="auto"/>
          <w:sz w:val="52"/>
          <w:szCs w:val="44"/>
          <w:highlight w:val="none"/>
          <w:lang w:eastAsia="zh-CN"/>
        </w:rPr>
      </w:pPr>
      <w:r>
        <w:rPr>
          <w:rFonts w:hint="eastAsia" w:ascii="黑体" w:eastAsia="黑体"/>
          <w:color w:val="auto"/>
          <w:sz w:val="52"/>
          <w:szCs w:val="44"/>
          <w:highlight w:val="none"/>
          <w:lang w:eastAsia="zh-CN"/>
        </w:rPr>
        <w:t>三方诚信招标有限公司</w:t>
      </w:r>
    </w:p>
    <w:p>
      <w:pPr>
        <w:jc w:val="center"/>
        <w:rPr>
          <w:rFonts w:ascii="黑体" w:eastAsia="黑体"/>
          <w:color w:val="auto"/>
          <w:sz w:val="52"/>
          <w:szCs w:val="44"/>
          <w:highlight w:val="none"/>
        </w:rPr>
      </w:pPr>
      <w:r>
        <w:rPr>
          <w:rFonts w:hint="eastAsia" w:ascii="黑体" w:eastAsia="黑体"/>
          <w:color w:val="auto"/>
          <w:sz w:val="52"/>
          <w:szCs w:val="44"/>
          <w:highlight w:val="none"/>
        </w:rPr>
        <w:t>东莞分公司</w:t>
      </w:r>
    </w:p>
    <w:p>
      <w:pPr>
        <w:pStyle w:val="15"/>
        <w:rPr>
          <w:color w:val="auto"/>
          <w:sz w:val="32"/>
          <w:szCs w:val="32"/>
          <w:highlight w:val="none"/>
        </w:rPr>
        <w:sectPr>
          <w:headerReference r:id="rId4" w:type="default"/>
          <w:pgSz w:w="11906" w:h="16838"/>
          <w:pgMar w:top="1440" w:right="1800" w:bottom="1440" w:left="1800" w:header="708" w:footer="708" w:gutter="0"/>
          <w:pgNumType w:start="0"/>
          <w:cols w:space="708" w:num="1"/>
          <w:titlePg/>
          <w:docGrid w:type="lines" w:linePitch="360" w:charSpace="0"/>
        </w:sectPr>
      </w:pPr>
    </w:p>
    <w:p>
      <w:pPr>
        <w:pStyle w:val="15"/>
        <w:rPr>
          <w:color w:val="auto"/>
          <w:sz w:val="40"/>
          <w:szCs w:val="40"/>
          <w:highlight w:val="none"/>
        </w:rPr>
      </w:pPr>
      <w:r>
        <w:rPr>
          <w:rFonts w:hint="eastAsia"/>
          <w:color w:val="auto"/>
          <w:sz w:val="40"/>
          <w:szCs w:val="40"/>
          <w:highlight w:val="none"/>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"1-4"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_Toc17720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投标邀请书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_Toc17720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第二部分 相关资料表格</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附表一：投标资料表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_Toc11083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附表二：商务技术评分及价格权重表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_Toc11083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_Toc23932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第三部分 用户需求书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_Toc23932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用户需求明细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第四部分 投标人须知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_Toc9559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_Toc9559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_Toc18092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_Toc18092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_Toc14885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_Toc14885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_Toc14014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3.货物和服务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_Toc14014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_Toc25490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_Toc25490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_Toc28736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6.关于联合体投标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_Toc28736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_Toc9408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7.关于分支机构投标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_Toc9408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招标文件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8.招标文件的组成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9.招标文件的澄清或修改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_Toc8709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_Toc8709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_Toc30245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10.投标文件的语言及度量衡单位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_Toc30245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11.投标文件的组成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_Toc28060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13.投标报价说明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_Toc28060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14.投标人所提供的服务或货物的证明文件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_Toc28478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_Toc28478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16.投标保证金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四、投标文件的递交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17.投标文件的装订，签署，密封和标记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18.迟交的投标文件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19.投标样品（如需提交）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20.投标截止期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_Toc5391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21.投标文件的补充、修改与撤回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五、 开标与评标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_Toc31243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_Toc30340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_Toc30340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23.评标委员会及评标方法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_Toc23115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24.评审原则及评标过程的保密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_Toc23115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_Toc29486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25.投标文件的初审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_Toc29486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_Toc19775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26.商务、技术、价格评审（具体评审项目详见投标资料表）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_Toc19775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27.优惠政策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28.纪律和保密事项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_Toc16902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六、 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_Toc16902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29.合同授予标准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_Toc24457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30.发布中标结果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_Toc24457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31.合同的签订与履行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32.履约保证金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_Toc19464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七、 询问或质疑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_Toc19464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_Toc27711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33.询问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_Toc27711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_Toc18644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_Toc18644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八、 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35.招标文件的解释权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第五部分 合同格式（仅供参考）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合同格式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_Toc3566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第六部分  附件－投标文件格式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_Toc3566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_Toc15661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附件1.投标文件目录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_Toc15661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_Toc13312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 评分标准索引表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_Toc13312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_Toc9857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附件2.投标书格式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_Toc9857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_Toc23548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附件3.开标一览表格式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_Toc23548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_Toc7877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附件4. 投标分项报价表格式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_Toc20013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附件5. 法定代表人证明书格式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_Toc20013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附件6.法定代表人授权书格式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_Toc20880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附件7.资格申明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_Toc20880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_Toc17384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附件8.营业执照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_Toc17384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_Toc9057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附件9.相关资质证明文件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_Toc9057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_Toc25635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附件10. 商务条款偏离表格式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_Toc15430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 技术规格偏离表格式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_Toc15430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_Toc31958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附件12.重要技术参数（▲）响应表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_Toc31958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附件13.业绩表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_Toc11366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附件14. 项目实施方案格式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_Toc11366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附件15. 实施本项目的有关人员资料表格式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_Toc30553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附件16.投标货物说明一览表格式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_Toc30553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附件17.在经营活动中没有重大违法记录的书面声明格式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附件18.中小企业声明函（投标人为中小企业时适用）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_Toc11132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附件19.《残疾人福利性单位声明函》（残疾人福利性单位适用）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_Toc11132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附件20.投标保证金汇入情况说明格式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cs="宋体"/>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_Toc8186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.获取招标文件登记表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_Toc8186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15"/>
        <w:tabs>
          <w:tab w:val="right" w:leader="dot" w:pos="8306"/>
          <w:tab w:val="clear" w:pos="8296"/>
        </w:tabs>
        <w:spacing w:line="240" w:lineRule="auto"/>
        <w:ind w:left="0" w:leftChars="0"/>
        <w:jc w:val="both"/>
        <w:rPr>
          <w:rFonts w:asciiTheme="majorHAnsi" w:hAnsiTheme="majorHAnsi" w:eastAsiaTheme="majorEastAsia" w:cstheme="majorBidi"/>
          <w:b/>
          <w:bCs/>
          <w:color w:val="auto"/>
          <w:sz w:val="28"/>
          <w:szCs w:val="28"/>
          <w:highlight w:val="none"/>
        </w:rPr>
      </w:pPr>
      <w:r>
        <w:rPr>
          <w:rFonts w:hint="eastAsia" w:asciiTheme="majorHAnsi" w:hAnsiTheme="majorHAnsi" w:eastAsiaTheme="majorEastAsia" w:cstheme="majorBidi"/>
          <w:b/>
          <w:bCs/>
          <w:color w:val="auto"/>
          <w:sz w:val="28"/>
          <w:szCs w:val="28"/>
          <w:highlight w:val="none"/>
        </w:rPr>
        <w:t>第一部分 投标邀请</w:t>
      </w:r>
    </w:p>
    <w:p>
      <w:pPr>
        <w:pStyle w:val="4"/>
        <w:spacing w:before="0" w:after="0" w:line="360" w:lineRule="auto"/>
        <w:jc w:val="center"/>
        <w:rPr>
          <w:rFonts w:ascii="宋体" w:hAnsi="宋体" w:eastAsia="宋体" w:cs="宋体"/>
          <w:color w:val="auto"/>
          <w:highlight w:val="none"/>
        </w:rPr>
      </w:pPr>
      <w:bookmarkStart w:id="0" w:name="_Toc17720"/>
      <w:r>
        <w:rPr>
          <w:rFonts w:hint="eastAsia" w:ascii="宋体" w:hAnsi="宋体" w:eastAsia="宋体" w:cs="宋体"/>
          <w:color w:val="auto"/>
          <w:highlight w:val="none"/>
        </w:rPr>
        <w:t>投标邀请书</w:t>
      </w:r>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）受</w:t>
      </w:r>
      <w:r>
        <w:rPr>
          <w:rFonts w:hint="eastAsia" w:ascii="宋体" w:hAnsi="宋体" w:eastAsia="宋体"/>
          <w:b/>
          <w:color w:val="auto"/>
          <w:sz w:val="21"/>
          <w:szCs w:val="21"/>
          <w:highlight w:val="none"/>
          <w:u w:val="single"/>
        </w:rPr>
        <w:t>东莞体育运动学校</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）委托，</w:t>
      </w:r>
      <w:r>
        <w:rPr>
          <w:rFonts w:hint="eastAsia" w:ascii="宋体" w:hAnsi="宋体" w:eastAsia="宋体"/>
          <w:color w:val="auto"/>
          <w:sz w:val="21"/>
          <w:szCs w:val="21"/>
          <w:highlight w:val="none"/>
        </w:rPr>
        <w:t>现</w:t>
      </w:r>
      <w:r>
        <w:rPr>
          <w:rFonts w:ascii="宋体" w:hAnsi="宋体" w:eastAsia="宋体"/>
          <w:color w:val="auto"/>
          <w:sz w:val="21"/>
          <w:szCs w:val="21"/>
          <w:highlight w:val="none"/>
        </w:rPr>
        <w:t>就</w:t>
      </w:r>
      <w:r>
        <w:rPr>
          <w:rFonts w:hint="eastAsia" w:ascii="宋体" w:hAnsi="宋体" w:eastAsia="宋体"/>
          <w:b/>
          <w:color w:val="auto"/>
          <w:sz w:val="21"/>
          <w:szCs w:val="21"/>
          <w:highlight w:val="none"/>
          <w:u w:val="single"/>
        </w:rPr>
        <w:t>东莞体育运动学校2021年运动服装及羽毛球器材采购项目</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u w:val="single"/>
        </w:rPr>
        <w:t>0832-SFCX21DG090A</w:t>
      </w:r>
      <w:r>
        <w:rPr>
          <w:rFonts w:hint="eastAsia" w:ascii="宋体" w:hAnsi="宋体" w:eastAsia="宋体"/>
          <w:color w:val="auto"/>
          <w:sz w:val="21"/>
          <w:szCs w:val="21"/>
          <w:highlight w:val="none"/>
        </w:rPr>
        <w:t>）</w:t>
      </w:r>
      <w:r>
        <w:rPr>
          <w:rFonts w:hint="eastAsia" w:ascii="宋体" w:hAnsi="宋体" w:eastAsia="宋体" w:cs="Times New Roman"/>
          <w:color w:val="auto"/>
          <w:sz w:val="21"/>
          <w:szCs w:val="21"/>
          <w:highlight w:val="none"/>
        </w:rPr>
        <w:t>进行国内公开招标采购</w:t>
      </w:r>
      <w:r>
        <w:rPr>
          <w:rFonts w:hint="eastAsia" w:ascii="宋体" w:hAnsi="宋体" w:eastAsia="宋体"/>
          <w:color w:val="auto"/>
          <w:sz w:val="21"/>
          <w:szCs w:val="21"/>
          <w:highlight w:val="none"/>
        </w:rPr>
        <w:t>，欢迎符合招标文件要求的国内投标人参加投标</w:t>
      </w:r>
      <w:r>
        <w:rPr>
          <w:rFonts w:ascii="宋体" w:hAnsi="宋体" w:eastAsia="宋体"/>
          <w:color w:val="auto"/>
          <w:sz w:val="21"/>
          <w:szCs w:val="21"/>
          <w:highlight w:val="none"/>
        </w:rPr>
        <w:t>。有关事项如下：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一、招标项目的名称、用途、简要技术要求或者招标项目的性质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1、项目内容：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419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包号</w:t>
            </w:r>
          </w:p>
        </w:tc>
        <w:tc>
          <w:tcPr>
            <w:tcW w:w="419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rPr>
              <w:t>内容</w:t>
            </w:r>
          </w:p>
        </w:tc>
        <w:tc>
          <w:tcPr>
            <w:tcW w:w="3006"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包</w:t>
            </w:r>
            <w:r>
              <w:rPr>
                <w:rFonts w:hint="eastAsia" w:ascii="宋体" w:hAnsi="宋体" w:eastAsia="宋体" w:cs="宋体"/>
                <w:color w:val="auto"/>
                <w:sz w:val="21"/>
                <w:szCs w:val="21"/>
                <w:highlight w:val="none"/>
                <w:lang w:val="en-US" w:eastAsia="zh-CN"/>
              </w:rPr>
              <w:t>A</w:t>
            </w:r>
          </w:p>
        </w:tc>
        <w:tc>
          <w:tcPr>
            <w:tcW w:w="419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运动服装</w:t>
            </w:r>
          </w:p>
        </w:tc>
        <w:tc>
          <w:tcPr>
            <w:tcW w:w="3006" w:type="dxa"/>
            <w:noWrap w:val="0"/>
            <w:vAlign w:val="center"/>
          </w:tcPr>
          <w:p>
            <w:pPr>
              <w:pStyle w:val="2"/>
              <w:keepNext w:val="0"/>
              <w:keepLines w:val="0"/>
              <w:pageBreakBefore w:val="0"/>
              <w:widowControl w:val="0"/>
              <w:kinsoku/>
              <w:wordWrap/>
              <w:overflowPunct/>
              <w:topLinePunct w:val="0"/>
              <w:autoSpaceDE/>
              <w:autoSpaceDN/>
              <w:bidi w:val="0"/>
              <w:adjustRightInd/>
              <w:snapToGrid/>
              <w:ind w:left="120" w:left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w:t>
            </w:r>
            <w:r>
              <w:rPr>
                <w:rFonts w:hint="eastAsia" w:cs="宋体"/>
                <w:color w:val="auto"/>
                <w:sz w:val="21"/>
                <w:szCs w:val="21"/>
                <w:highlight w:val="none"/>
                <w:lang w:val="en-US" w:eastAsia="zh-CN"/>
              </w:rPr>
              <w:t>470,000.00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包</w:t>
            </w:r>
            <w:r>
              <w:rPr>
                <w:rFonts w:hint="eastAsia" w:ascii="宋体" w:hAnsi="宋体" w:eastAsia="宋体" w:cs="宋体"/>
                <w:color w:val="auto"/>
                <w:sz w:val="21"/>
                <w:szCs w:val="21"/>
                <w:highlight w:val="none"/>
                <w:lang w:val="en-US" w:eastAsia="zh-CN"/>
              </w:rPr>
              <w:t>B</w:t>
            </w:r>
          </w:p>
        </w:tc>
        <w:tc>
          <w:tcPr>
            <w:tcW w:w="4198" w:type="dxa"/>
            <w:noWrap w:val="0"/>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羽毛球器材</w:t>
            </w:r>
          </w:p>
        </w:tc>
        <w:tc>
          <w:tcPr>
            <w:tcW w:w="3006" w:type="dxa"/>
            <w:noWrap w:val="0"/>
            <w:vAlign w:val="center"/>
          </w:tcPr>
          <w:p>
            <w:pPr>
              <w:pStyle w:val="2"/>
              <w:keepNext w:val="0"/>
              <w:keepLines w:val="0"/>
              <w:pageBreakBefore w:val="0"/>
              <w:widowControl w:val="0"/>
              <w:kinsoku/>
              <w:wordWrap/>
              <w:overflowPunct/>
              <w:topLinePunct w:val="0"/>
              <w:autoSpaceDE/>
              <w:autoSpaceDN/>
              <w:bidi w:val="0"/>
              <w:adjustRightInd/>
              <w:snapToGrid/>
              <w:ind w:left="120" w:leftChars="0"/>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w:t>
            </w:r>
            <w:r>
              <w:rPr>
                <w:rFonts w:hint="eastAsia" w:cs="宋体"/>
                <w:color w:val="auto"/>
                <w:sz w:val="21"/>
                <w:szCs w:val="21"/>
                <w:highlight w:val="none"/>
                <w:lang w:val="en-US" w:eastAsia="zh-CN"/>
              </w:rPr>
              <w:t>350,000.00</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2、简要技术要求或招标项目的性质：详细内容请参阅招标文件第三部分《用户需求书》。</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二、投标人资格要求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1、一般要求：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（1）须符合《中华人民共和国政府采购法》第二十二条规定（需提供书面承诺）；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（2）参加采购活动前三年内，在经营活动中没有重大违法记录（须提供书面声明）；</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2、特殊要求：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eastAsia="zh-CN"/>
        </w:rPr>
        <w:t>无。</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三、项目公示时间、报名时间、地点、方式及招标文件售价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1、项目公示时间：</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27</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6</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2、报名</w:t>
      </w:r>
      <w:r>
        <w:rPr>
          <w:rFonts w:ascii="宋体" w:hAnsi="宋体" w:eastAsia="宋体"/>
          <w:color w:val="auto"/>
          <w:sz w:val="21"/>
          <w:szCs w:val="21"/>
          <w:highlight w:val="none"/>
        </w:rPr>
        <w:t>时间：</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27</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6</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日（节假日除外），上午9：00～12：00，下午14：</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0～17：</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 xml:space="preserve">0（北京时间）。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3、项目报名地点：东莞市南城街道鸿福西路81号国际商会大厦</w:t>
      </w:r>
      <w:r>
        <w:rPr>
          <w:rFonts w:hint="eastAsia" w:ascii="宋体" w:hAnsi="宋体" w:eastAsia="宋体"/>
          <w:color w:val="auto"/>
          <w:sz w:val="21"/>
          <w:szCs w:val="21"/>
          <w:highlight w:val="none"/>
          <w:lang w:val="en-US" w:eastAsia="zh-CN"/>
        </w:rPr>
        <w:t>706</w:t>
      </w:r>
      <w:r>
        <w:rPr>
          <w:rFonts w:hint="eastAsia" w:ascii="宋体" w:hAnsi="宋体" w:eastAsia="宋体"/>
          <w:color w:val="auto"/>
          <w:sz w:val="21"/>
          <w:szCs w:val="21"/>
          <w:highlight w:val="none"/>
        </w:rPr>
        <w:t>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lang w:val="en-US" w:eastAsia="zh-CN"/>
        </w:rPr>
        <w:t>黄雯静</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4、报名方式：</w:t>
      </w:r>
      <w:r>
        <w:rPr>
          <w:rFonts w:hint="eastAsia" w:ascii="宋体" w:hAnsi="宋体" w:eastAsia="宋体"/>
          <w:color w:val="auto"/>
          <w:sz w:val="21"/>
          <w:szCs w:val="21"/>
          <w:highlight w:val="none"/>
          <w:lang w:eastAsia="zh-CN"/>
        </w:rPr>
        <w:t>现场</w:t>
      </w:r>
      <w:r>
        <w:rPr>
          <w:rFonts w:hint="eastAsia" w:ascii="宋体" w:hAnsi="宋体" w:eastAsia="宋体"/>
          <w:color w:val="auto"/>
          <w:sz w:val="21"/>
          <w:szCs w:val="21"/>
          <w:highlight w:val="none"/>
        </w:rPr>
        <w:t>报名。</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投标人在购买招标文件时须提供如下证明材料：《营业执照》复印件（加盖公章）或《事业单位法人证书》复印件（加盖公章）或其他主体证书复印件（加盖公章）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5、招标文件售价：每套人民币150元。</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6、购买了招标文件，而不参加投标的投标人，请在开标日期三日前以纸质版形式通知采购代理机构。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四、投标截止时间、开标时间及地点</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1、递交投标文件时间：</w:t>
      </w:r>
      <w:r>
        <w:rPr>
          <w:rFonts w:hint="eastAsia" w:ascii="宋体" w:hAnsi="宋体" w:eastAsia="宋体"/>
          <w:bCs/>
          <w:color w:val="auto"/>
          <w:sz w:val="21"/>
          <w:szCs w:val="21"/>
          <w:highlight w:val="none"/>
          <w:lang w:eastAsia="zh-CN"/>
        </w:rPr>
        <w:t>2021</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6</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17</w:t>
      </w:r>
      <w:r>
        <w:rPr>
          <w:rFonts w:hint="eastAsia" w:ascii="宋体" w:hAnsi="宋体" w:eastAsia="宋体"/>
          <w:bCs/>
          <w:color w:val="auto"/>
          <w:sz w:val="21"/>
          <w:szCs w:val="21"/>
          <w:highlight w:val="none"/>
        </w:rPr>
        <w:t>日</w:t>
      </w:r>
      <w:r>
        <w:rPr>
          <w:rFonts w:hint="eastAsia" w:ascii="宋体" w:hAnsi="宋体" w:eastAsia="宋体"/>
          <w:bCs/>
          <w:color w:val="auto"/>
          <w:sz w:val="21"/>
          <w:szCs w:val="21"/>
          <w:highlight w:val="none"/>
          <w:lang w:eastAsia="zh-CN"/>
        </w:rPr>
        <w:t>上</w:t>
      </w:r>
      <w:r>
        <w:rPr>
          <w:rFonts w:hint="eastAsia" w:ascii="宋体" w:hAnsi="宋体" w:eastAsia="宋体"/>
          <w:bCs/>
          <w:color w:val="auto"/>
          <w:sz w:val="21"/>
          <w:szCs w:val="21"/>
          <w:highlight w:val="none"/>
        </w:rPr>
        <w:t>午</w:t>
      </w:r>
      <w:r>
        <w:rPr>
          <w:rFonts w:hint="eastAsia" w:ascii="宋体" w:hAnsi="宋体" w:eastAsia="宋体"/>
          <w:bCs/>
          <w:color w:val="auto"/>
          <w:sz w:val="21"/>
          <w:szCs w:val="21"/>
          <w:highlight w:val="none"/>
          <w:lang w:val="en-US" w:eastAsia="zh-CN"/>
        </w:rPr>
        <w:t>9</w:t>
      </w:r>
      <w:r>
        <w:rPr>
          <w:rFonts w:hint="eastAsia" w:ascii="宋体" w:hAnsi="宋体" w:eastAsia="宋体"/>
          <w:bCs/>
          <w:color w:val="auto"/>
          <w:sz w:val="21"/>
          <w:szCs w:val="21"/>
          <w:highlight w:val="none"/>
        </w:rPr>
        <w:t>：00～</w:t>
      </w:r>
      <w:r>
        <w:rPr>
          <w:rFonts w:hint="eastAsia" w:ascii="宋体" w:hAnsi="宋体" w:eastAsia="宋体"/>
          <w:bCs/>
          <w:color w:val="auto"/>
          <w:sz w:val="21"/>
          <w:szCs w:val="21"/>
          <w:highlight w:val="none"/>
          <w:lang w:val="en-US" w:eastAsia="zh-CN"/>
        </w:rPr>
        <w:t>9</w:t>
      </w:r>
      <w:r>
        <w:rPr>
          <w:rFonts w:hint="eastAsia" w:ascii="宋体" w:hAnsi="宋体" w:eastAsia="宋体"/>
          <w:bCs/>
          <w:color w:val="auto"/>
          <w:sz w:val="21"/>
          <w:szCs w:val="21"/>
          <w:highlight w:val="none"/>
        </w:rPr>
        <w:t>：30。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2、</w:t>
      </w:r>
      <w:r>
        <w:rPr>
          <w:rFonts w:ascii="宋体" w:hAnsi="宋体" w:eastAsia="宋体"/>
          <w:bCs/>
          <w:color w:val="auto"/>
          <w:sz w:val="21"/>
          <w:szCs w:val="21"/>
          <w:highlight w:val="none"/>
        </w:rPr>
        <w:t>投标截止</w:t>
      </w:r>
      <w:r>
        <w:rPr>
          <w:rFonts w:hint="eastAsia" w:ascii="宋体" w:hAnsi="宋体" w:eastAsia="宋体"/>
          <w:bCs/>
          <w:color w:val="auto"/>
          <w:sz w:val="21"/>
          <w:szCs w:val="21"/>
          <w:highlight w:val="none"/>
        </w:rPr>
        <w:t>及开标时间：</w:t>
      </w:r>
      <w:r>
        <w:rPr>
          <w:rFonts w:hint="eastAsia" w:ascii="宋体" w:hAnsi="宋体" w:eastAsia="宋体"/>
          <w:bCs/>
          <w:color w:val="auto"/>
          <w:sz w:val="21"/>
          <w:szCs w:val="21"/>
          <w:highlight w:val="none"/>
          <w:lang w:eastAsia="zh-CN"/>
        </w:rPr>
        <w:t>2021</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6</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17</w:t>
      </w:r>
      <w:r>
        <w:rPr>
          <w:rFonts w:hint="eastAsia" w:ascii="宋体" w:hAnsi="宋体" w:eastAsia="宋体"/>
          <w:bCs/>
          <w:color w:val="auto"/>
          <w:sz w:val="21"/>
          <w:szCs w:val="21"/>
          <w:highlight w:val="none"/>
        </w:rPr>
        <w:t>日</w:t>
      </w:r>
      <w:r>
        <w:rPr>
          <w:rFonts w:hint="eastAsia" w:ascii="宋体" w:hAnsi="宋体" w:eastAsia="宋体"/>
          <w:bCs/>
          <w:color w:val="auto"/>
          <w:sz w:val="21"/>
          <w:szCs w:val="21"/>
          <w:highlight w:val="none"/>
          <w:lang w:eastAsia="zh-CN"/>
        </w:rPr>
        <w:t>上</w:t>
      </w:r>
      <w:r>
        <w:rPr>
          <w:rFonts w:hint="eastAsia" w:ascii="宋体" w:hAnsi="宋体" w:eastAsia="宋体"/>
          <w:bCs/>
          <w:color w:val="auto"/>
          <w:sz w:val="21"/>
          <w:szCs w:val="21"/>
          <w:highlight w:val="none"/>
        </w:rPr>
        <w:t>午</w:t>
      </w:r>
      <w:r>
        <w:rPr>
          <w:rFonts w:hint="eastAsia" w:ascii="宋体" w:hAnsi="宋体" w:eastAsia="宋体"/>
          <w:bCs/>
          <w:color w:val="auto"/>
          <w:sz w:val="21"/>
          <w:szCs w:val="21"/>
          <w:highlight w:val="none"/>
          <w:lang w:val="en-US" w:eastAsia="zh-CN"/>
        </w:rPr>
        <w:t>9</w:t>
      </w:r>
      <w:r>
        <w:rPr>
          <w:rFonts w:hint="eastAsia" w:ascii="宋体" w:hAnsi="宋体" w:eastAsia="宋体"/>
          <w:bCs/>
          <w:color w:val="auto"/>
          <w:sz w:val="21"/>
          <w:szCs w:val="21"/>
          <w:highlight w:val="none"/>
        </w:rPr>
        <w:t>时30分。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3、</w:t>
      </w:r>
      <w:r>
        <w:rPr>
          <w:rFonts w:ascii="宋体" w:hAnsi="宋体" w:eastAsia="宋体"/>
          <w:bCs/>
          <w:color w:val="auto"/>
          <w:sz w:val="21"/>
          <w:szCs w:val="21"/>
          <w:highlight w:val="none"/>
        </w:rPr>
        <w:t>开标地点：</w:t>
      </w:r>
      <w:r>
        <w:rPr>
          <w:rFonts w:hint="eastAsia" w:ascii="宋体" w:hAnsi="宋体" w:eastAsia="宋体"/>
          <w:color w:val="auto"/>
          <w:sz w:val="21"/>
          <w:szCs w:val="21"/>
          <w:highlight w:val="none"/>
        </w:rPr>
        <w:t>东莞市南城街道鸿福西路81号国际商会大厦601室</w:t>
      </w:r>
      <w:r>
        <w:rPr>
          <w:rFonts w:hint="eastAsia" w:ascii="宋体" w:hAnsi="宋体" w:eastAsia="宋体"/>
          <w:bCs/>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bCs/>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Cs/>
          <w:color w:val="auto"/>
          <w:sz w:val="21"/>
          <w:szCs w:val="21"/>
          <w:highlight w:val="none"/>
        </w:rPr>
      </w:pPr>
      <w:r>
        <w:rPr>
          <w:rFonts w:hint="eastAsia" w:ascii="宋体" w:hAnsi="宋体" w:eastAsia="宋体"/>
          <w:b/>
          <w:color w:val="auto"/>
          <w:sz w:val="21"/>
          <w:szCs w:val="21"/>
          <w:highlight w:val="none"/>
        </w:rPr>
        <w:t>五、采购人及采购代理机构的名称、地址和联系方法：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rPr>
        <w:t>采购人联系人：方老师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rPr>
        <w:t>地址：东莞市东城区汇京路39号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rPr>
        <w:t>联系电话：0769-23114787</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采购代理机构名称：</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地址：东莞市南城街道鸿福西路81号国际商会大厦</w:t>
      </w:r>
      <w:r>
        <w:rPr>
          <w:rFonts w:hint="eastAsia" w:ascii="宋体" w:hAnsi="宋体" w:eastAsia="宋体"/>
          <w:color w:val="auto"/>
          <w:sz w:val="21"/>
          <w:szCs w:val="21"/>
          <w:highlight w:val="none"/>
          <w:lang w:val="en-US" w:eastAsia="zh-CN"/>
        </w:rPr>
        <w:t>706</w:t>
      </w:r>
      <w:r>
        <w:rPr>
          <w:rFonts w:hint="eastAsia" w:ascii="宋体" w:hAnsi="宋体" w:eastAsia="宋体"/>
          <w:color w:val="auto"/>
          <w:sz w:val="21"/>
          <w:szCs w:val="21"/>
          <w:highlight w:val="none"/>
        </w:rPr>
        <w:t>室。</w:t>
      </w:r>
    </w:p>
    <w:p>
      <w:pPr>
        <w:spacing w:after="0"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采购代理机构联系人：</w:t>
      </w:r>
      <w:r>
        <w:rPr>
          <w:rFonts w:hint="eastAsia" w:ascii="宋体" w:hAnsi="宋体" w:eastAsia="宋体"/>
          <w:color w:val="auto"/>
          <w:sz w:val="21"/>
          <w:szCs w:val="21"/>
          <w:highlight w:val="none"/>
          <w:lang w:eastAsia="zh-CN"/>
        </w:rPr>
        <w:t>王先生</w:t>
      </w:r>
    </w:p>
    <w:p>
      <w:pPr>
        <w:spacing w:after="0" w:line="360" w:lineRule="auto"/>
        <w:ind w:firstLine="420" w:firstLineChars="200"/>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联系电话：0769-21682660</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E－ mail：</w:t>
      </w:r>
      <w:r>
        <w:rPr>
          <w:rFonts w:hint="eastAsia" w:ascii="宋体" w:hAnsi="宋体" w:eastAsia="宋体"/>
          <w:color w:val="auto"/>
          <w:sz w:val="21"/>
          <w:szCs w:val="21"/>
          <w:highlight w:val="none"/>
          <w:lang w:val="en-US" w:eastAsia="zh-CN"/>
        </w:rPr>
        <w:t>735880509</w:t>
      </w:r>
      <w:r>
        <w:rPr>
          <w:rFonts w:hint="eastAsia" w:ascii="宋体" w:hAnsi="宋体" w:eastAsia="宋体"/>
          <w:color w:val="auto"/>
          <w:sz w:val="21"/>
          <w:szCs w:val="21"/>
          <w:highlight w:val="none"/>
        </w:rPr>
        <w:t>@qq.com</w:t>
      </w:r>
    </w:p>
    <w:p>
      <w:pPr>
        <w:keepNext w:val="0"/>
        <w:keepLines w:val="0"/>
        <w:pageBreakBefore w:val="0"/>
        <w:widowControl/>
        <w:kinsoku/>
        <w:wordWrap/>
        <w:overflowPunct/>
        <w:topLinePunct w:val="0"/>
        <w:autoSpaceDE/>
        <w:autoSpaceDN/>
        <w:bidi w:val="0"/>
        <w:adjustRightInd w:val="0"/>
        <w:snapToGrid w:val="0"/>
        <w:spacing w:after="0" w:line="360" w:lineRule="auto"/>
        <w:ind w:firstLine="440" w:firstLineChars="200"/>
        <w:textAlignment w:val="auto"/>
        <w:rPr>
          <w:rFonts w:eastAsia="宋体"/>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both"/>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三方诚信招标有限公司</w:t>
      </w:r>
      <w:r>
        <w:rPr>
          <w:rFonts w:hint="eastAsia" w:ascii="宋体" w:hAnsi="宋体" w:eastAsia="宋体" w:cs="宋体"/>
          <w:color w:val="auto"/>
          <w:sz w:val="21"/>
          <w:szCs w:val="21"/>
          <w:highlight w:val="none"/>
        </w:rPr>
        <w:t>东莞分公司</w:t>
      </w:r>
    </w:p>
    <w:p>
      <w:pPr>
        <w:keepNext w:val="0"/>
        <w:keepLines w:val="0"/>
        <w:pageBreakBefore w:val="0"/>
        <w:widowControl/>
        <w:kinsoku/>
        <w:wordWrap/>
        <w:overflowPunct/>
        <w:topLinePunct w:val="0"/>
        <w:autoSpaceDE/>
        <w:autoSpaceDN/>
        <w:bidi w:val="0"/>
        <w:adjustRightInd w:val="0"/>
        <w:snapToGrid w:val="0"/>
        <w:spacing w:line="360" w:lineRule="auto"/>
        <w:ind w:left="6479" w:leftChars="2945" w:firstLine="0" w:firstLineChars="0"/>
        <w:textAlignment w:val="auto"/>
        <w:rPr>
          <w:rFonts w:ascii="黑体" w:hAnsi="宋体" w:eastAsia="黑体"/>
          <w:color w:val="auto"/>
          <w:highlight w:val="none"/>
        </w:rPr>
      </w:pPr>
      <w:r>
        <w:rPr>
          <w:rFonts w:hint="eastAsia" w:ascii="宋体" w:hAnsi="宋体" w:eastAsia="宋体" w:cs="宋体"/>
          <w:color w:val="auto"/>
          <w:sz w:val="21"/>
          <w:szCs w:val="21"/>
          <w:highlight w:val="none"/>
          <w:lang w:val="en-US" w:eastAsia="zh-CN"/>
        </w:rPr>
        <w:t>2021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br w:type="page"/>
      </w:r>
    </w:p>
    <w:p>
      <w:pPr>
        <w:pStyle w:val="3"/>
        <w:spacing w:before="0" w:after="0" w:line="240" w:lineRule="auto"/>
        <w:rPr>
          <w:color w:val="auto"/>
          <w:sz w:val="28"/>
          <w:szCs w:val="28"/>
          <w:highlight w:val="none"/>
        </w:rPr>
      </w:pPr>
      <w:bookmarkStart w:id="1" w:name="_Toc1854"/>
      <w:r>
        <w:rPr>
          <w:rFonts w:hint="eastAsia"/>
          <w:color w:val="auto"/>
          <w:sz w:val="28"/>
          <w:szCs w:val="28"/>
          <w:highlight w:val="none"/>
        </w:rPr>
        <w:t>第二部分 相关资料表格</w:t>
      </w:r>
      <w:bookmarkEnd w:id="1"/>
    </w:p>
    <w:p>
      <w:pPr>
        <w:pStyle w:val="4"/>
        <w:spacing w:before="0" w:after="0" w:line="240" w:lineRule="auto"/>
        <w:jc w:val="center"/>
        <w:rPr>
          <w:rFonts w:hint="eastAsia" w:ascii="宋体" w:hAnsi="宋体" w:eastAsia="宋体" w:cs="宋体"/>
          <w:color w:val="auto"/>
          <w:sz w:val="24"/>
          <w:szCs w:val="24"/>
          <w:highlight w:val="none"/>
        </w:rPr>
      </w:pPr>
      <w:bookmarkStart w:id="2" w:name="_Toc1210"/>
      <w:r>
        <w:rPr>
          <w:rFonts w:hint="eastAsia" w:ascii="宋体" w:hAnsi="宋体" w:eastAsia="宋体" w:cs="宋体"/>
          <w:color w:val="auto"/>
          <w:sz w:val="24"/>
          <w:szCs w:val="24"/>
          <w:highlight w:val="none"/>
        </w:rPr>
        <w:t>附表一：投标资料表</w:t>
      </w:r>
      <w:bookmarkEnd w:id="2"/>
    </w:p>
    <w:tbl>
      <w:tblPr>
        <w:tblStyle w:val="18"/>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4"/>
        <w:gridCol w:w="4"/>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内</w:t>
            </w:r>
            <w:r>
              <w:rPr>
                <w:rFonts w:ascii="宋体" w:hAnsi="宋体" w:eastAsia="宋体"/>
                <w:b/>
                <w:color w:val="auto"/>
                <w:sz w:val="21"/>
                <w:szCs w:val="21"/>
                <w:highlight w:val="none"/>
              </w:rPr>
              <w:t xml:space="preserve">      </w:t>
            </w:r>
            <w:r>
              <w:rPr>
                <w:rFonts w:hint="eastAsia" w:ascii="宋体" w:hAnsi="宋体" w:eastAsia="宋体"/>
                <w:b/>
                <w:color w:val="auto"/>
                <w:sz w:val="21"/>
                <w:szCs w:val="21"/>
                <w:highlight w:val="none"/>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Cs/>
                <w:color w:val="auto"/>
                <w:sz w:val="21"/>
                <w:szCs w:val="21"/>
                <w:highlight w:val="none"/>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w:t>
            </w:r>
          </w:p>
        </w:tc>
        <w:tc>
          <w:tcPr>
            <w:tcW w:w="7532" w:type="dxa"/>
            <w:gridSpan w:val="4"/>
            <w:vAlign w:val="center"/>
          </w:tcPr>
          <w:p>
            <w:pPr>
              <w:spacing w:after="0"/>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项目类型</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lang w:eastAsia="zh-CN"/>
              </w:rPr>
              <w:t>货物</w:t>
            </w:r>
            <w:r>
              <w:rPr>
                <w:rFonts w:hint="eastAsia" w:ascii="宋体" w:hAnsi="宋体" w:eastAsia="宋体"/>
                <w:bCs/>
                <w:color w:val="auto"/>
                <w:sz w:val="21"/>
                <w:szCs w:val="21"/>
                <w:highlight w:val="none"/>
              </w:rPr>
              <w:sym w:font="Wingdings" w:char="00FE"/>
            </w:r>
            <w:r>
              <w:rPr>
                <w:rFonts w:hint="eastAsia" w:ascii="宋体" w:hAnsi="宋体" w:eastAsia="宋体"/>
                <w:bCs/>
                <w:color w:val="auto"/>
                <w:sz w:val="21"/>
                <w:szCs w:val="21"/>
                <w:highlight w:val="none"/>
                <w:lang w:val="en-US" w:eastAsia="zh-CN"/>
              </w:rPr>
              <w:t xml:space="preserve">   工程</w:t>
            </w:r>
            <w:r>
              <w:rPr>
                <w:rFonts w:hint="eastAsia" w:ascii="宋体" w:hAnsi="宋体" w:eastAsia="宋体"/>
                <w:bCs/>
                <w:color w:val="auto"/>
                <w:sz w:val="21"/>
                <w:szCs w:val="21"/>
                <w:highlight w:val="none"/>
                <w:lang w:val="en-US" w:eastAsia="zh-CN"/>
              </w:rPr>
              <w:sym w:font="Wingdings" w:char="00A8"/>
            </w:r>
            <w:r>
              <w:rPr>
                <w:rFonts w:hint="eastAsia" w:ascii="宋体" w:hAnsi="宋体" w:eastAsia="宋体"/>
                <w:bCs/>
                <w:color w:val="auto"/>
                <w:sz w:val="21"/>
                <w:szCs w:val="21"/>
                <w:highlight w:val="none"/>
                <w:lang w:val="en-US" w:eastAsia="zh-CN"/>
              </w:rPr>
              <w:t xml:space="preserve">   服务</w:t>
            </w:r>
            <w:r>
              <w:rPr>
                <w:rFonts w:hint="eastAsia" w:ascii="宋体" w:hAnsi="宋体" w:eastAsia="宋体"/>
                <w:bCs/>
                <w:color w:val="auto"/>
                <w:sz w:val="21"/>
                <w:szCs w:val="21"/>
                <w:highlight w:val="none"/>
                <w:lang w:val="en-US" w:eastAsia="zh-CN"/>
              </w:rPr>
              <w:sym w:font="Wingdings" w:char="00A8"/>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hint="eastAsia" w:ascii="宋体" w:hAnsi="宋体" w:eastAsia="宋体"/>
                <w:bCs/>
                <w:color w:val="auto"/>
                <w:sz w:val="21"/>
                <w:szCs w:val="21"/>
                <w:highlight w:val="none"/>
                <w:lang w:val="en-US" w:eastAsia="zh-CN"/>
              </w:rPr>
            </w:pPr>
            <w:r>
              <w:rPr>
                <w:rFonts w:hint="eastAsia" w:ascii="宋体" w:hAnsi="宋体" w:eastAsia="宋体"/>
                <w:bCs/>
                <w:color w:val="auto"/>
                <w:sz w:val="21"/>
                <w:szCs w:val="21"/>
                <w:highlight w:val="none"/>
                <w:lang w:val="en-US" w:eastAsia="zh-CN"/>
              </w:rPr>
              <w:t>所属行业：工业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3</w:t>
            </w: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color w:val="auto"/>
                <w:sz w:val="21"/>
                <w:szCs w:val="21"/>
                <w:highlight w:val="none"/>
                <w:lang w:eastAsia="zh-CN"/>
              </w:rPr>
              <w:t>自筹</w:t>
            </w:r>
            <w:r>
              <w:rPr>
                <w:rFonts w:hint="eastAsia" w:ascii="宋体" w:hAnsi="宋体" w:eastAsia="宋体"/>
                <w:color w:val="auto"/>
                <w:sz w:val="21"/>
                <w:szCs w:val="21"/>
                <w:highlight w:val="none"/>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4</w:t>
            </w:r>
          </w:p>
        </w:tc>
        <w:tc>
          <w:tcPr>
            <w:tcW w:w="7532" w:type="dxa"/>
            <w:gridSpan w:val="4"/>
            <w:vAlign w:val="center"/>
          </w:tcPr>
          <w:p>
            <w:pPr>
              <w:spacing w:after="0"/>
              <w:rPr>
                <w:rFonts w:hint="eastAsia" w:ascii="宋体" w:hAnsi="宋体" w:eastAsia="宋体"/>
                <w:color w:val="auto"/>
                <w:sz w:val="21"/>
                <w:szCs w:val="21"/>
                <w:highlight w:val="none"/>
              </w:rPr>
            </w:pPr>
            <w:r>
              <w:rPr>
                <w:rFonts w:hint="eastAsia" w:ascii="宋体" w:hAnsi="宋体" w:eastAsia="宋体"/>
                <w:b/>
                <w:color w:val="auto"/>
                <w:sz w:val="21"/>
                <w:szCs w:val="21"/>
                <w:highlight w:val="none"/>
                <w:lang w:eastAsia="zh-CN"/>
              </w:rPr>
              <w:t>是否为专门面向中小企业采购的采购项目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hint="eastAsia" w:ascii="宋体" w:hAnsi="宋体" w:eastAsia="宋体"/>
                <w:color w:val="auto"/>
                <w:sz w:val="21"/>
                <w:szCs w:val="21"/>
                <w:highlight w:val="none"/>
              </w:rPr>
            </w:pPr>
            <w:r>
              <w:rPr>
                <w:rFonts w:hint="eastAsia" w:ascii="宋体" w:hAnsi="宋体" w:eastAsia="宋体"/>
                <w:bCs/>
                <w:color w:val="auto"/>
                <w:sz w:val="21"/>
                <w:szCs w:val="21"/>
                <w:highlight w:val="none"/>
                <w:lang w:eastAsia="zh-CN"/>
              </w:rPr>
              <w:t>是</w:t>
            </w:r>
            <w:r>
              <w:rPr>
                <w:rFonts w:hint="eastAsia" w:ascii="宋体" w:hAnsi="宋体" w:eastAsia="宋体"/>
                <w:bCs/>
                <w:color w:val="auto"/>
                <w:sz w:val="21"/>
                <w:szCs w:val="21"/>
                <w:highlight w:val="none"/>
              </w:rPr>
              <w:sym w:font="Wingdings" w:char="00A8"/>
            </w:r>
            <w:r>
              <w:rPr>
                <w:rFonts w:hint="eastAsia" w:ascii="宋体" w:hAnsi="宋体" w:eastAsia="宋体"/>
                <w:bCs/>
                <w:color w:val="auto"/>
                <w:sz w:val="21"/>
                <w:szCs w:val="21"/>
                <w:highlight w:val="none"/>
                <w:lang w:val="en-US" w:eastAsia="zh-CN"/>
              </w:rPr>
              <w:t xml:space="preserve">    否</w:t>
            </w:r>
            <w:r>
              <w:rPr>
                <w:rFonts w:hint="eastAsia" w:ascii="宋体" w:hAnsi="宋体" w:eastAsia="宋体"/>
                <w:bCs/>
                <w:color w:val="auto"/>
                <w:sz w:val="21"/>
                <w:szCs w:val="21"/>
                <w:highlight w:val="none"/>
                <w:lang w:val="en-US" w:eastAsia="zh-CN"/>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5</w:t>
            </w: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Cs/>
                <w:color w:val="auto"/>
                <w:sz w:val="21"/>
                <w:szCs w:val="21"/>
                <w:highlight w:val="none"/>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6</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2"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lang w:eastAsia="zh-CN"/>
              </w:rPr>
              <w:t>三方诚信招标网</w:t>
            </w:r>
          </w:p>
        </w:tc>
        <w:tc>
          <w:tcPr>
            <w:tcW w:w="3770"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2"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val="0"/>
                <w:bCs/>
                <w:color w:val="auto"/>
                <w:sz w:val="21"/>
                <w:szCs w:val="21"/>
                <w:highlight w:val="none"/>
              </w:rPr>
              <w:t>http://www.sfcx.cn/</w:t>
            </w:r>
          </w:p>
        </w:tc>
        <w:tc>
          <w:tcPr>
            <w:tcW w:w="3770" w:type="dxa"/>
            <w:gridSpan w:val="2"/>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7</w:t>
            </w: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color w:val="auto"/>
                <w:sz w:val="21"/>
                <w:szCs w:val="21"/>
                <w:highlight w:val="none"/>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8</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9</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10</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11</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717"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numPr>
                <w:ilvl w:val="0"/>
                <w:numId w:val="2"/>
              </w:numPr>
              <w:spacing w:after="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A包</w:t>
            </w:r>
            <w:r>
              <w:rPr>
                <w:rFonts w:hint="eastAsia" w:ascii="宋体" w:hAnsi="宋体" w:eastAsia="宋体"/>
                <w:color w:val="auto"/>
                <w:sz w:val="21"/>
                <w:szCs w:val="21"/>
                <w:highlight w:val="none"/>
              </w:rPr>
              <w:t>投标保证金金额：人民币</w:t>
            </w:r>
            <w:r>
              <w:rPr>
                <w:rFonts w:hint="eastAsia" w:ascii="宋体" w:hAnsi="宋体" w:eastAsia="宋体"/>
                <w:b/>
                <w:color w:val="auto"/>
                <w:sz w:val="21"/>
                <w:szCs w:val="21"/>
                <w:highlight w:val="none"/>
                <w:lang w:eastAsia="zh-CN"/>
              </w:rPr>
              <w:t>伍仟</w:t>
            </w:r>
            <w:r>
              <w:rPr>
                <w:rFonts w:hint="eastAsia" w:ascii="宋体" w:hAnsi="宋体" w:eastAsia="宋体"/>
                <w:color w:val="auto"/>
                <w:sz w:val="21"/>
                <w:szCs w:val="21"/>
                <w:highlight w:val="none"/>
              </w:rPr>
              <w:t>元整（￥</w:t>
            </w:r>
            <w:r>
              <w:rPr>
                <w:rFonts w:hint="eastAsia" w:ascii="宋体" w:hAnsi="宋体" w:eastAsia="宋体"/>
                <w:b/>
                <w:color w:val="auto"/>
                <w:sz w:val="21"/>
                <w:szCs w:val="21"/>
                <w:highlight w:val="none"/>
                <w:lang w:val="en-US" w:eastAsia="zh-CN"/>
              </w:rPr>
              <w:t>5,000.00</w:t>
            </w:r>
            <w:r>
              <w:rPr>
                <w:rFonts w:hint="eastAsia" w:ascii="宋体" w:hAnsi="宋体" w:eastAsia="宋体"/>
                <w:color w:val="auto"/>
                <w:sz w:val="21"/>
                <w:szCs w:val="21"/>
                <w:highlight w:val="none"/>
              </w:rPr>
              <w:t>）。</w:t>
            </w:r>
          </w:p>
          <w:p>
            <w:pPr>
              <w:numPr>
                <w:ilvl w:val="0"/>
                <w:numId w:val="0"/>
              </w:num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（2）B包</w:t>
            </w:r>
            <w:r>
              <w:rPr>
                <w:rFonts w:hint="eastAsia" w:ascii="宋体" w:hAnsi="宋体" w:eastAsia="宋体"/>
                <w:color w:val="auto"/>
                <w:sz w:val="21"/>
                <w:szCs w:val="21"/>
                <w:highlight w:val="none"/>
              </w:rPr>
              <w:t>投标保证金金额：人民币</w:t>
            </w:r>
            <w:r>
              <w:rPr>
                <w:rFonts w:hint="eastAsia" w:ascii="宋体" w:hAnsi="宋体" w:eastAsia="宋体"/>
                <w:b/>
                <w:color w:val="auto"/>
                <w:sz w:val="21"/>
                <w:szCs w:val="21"/>
                <w:highlight w:val="none"/>
                <w:lang w:eastAsia="zh-CN"/>
              </w:rPr>
              <w:t>肆仟</w:t>
            </w:r>
            <w:r>
              <w:rPr>
                <w:rFonts w:hint="eastAsia" w:ascii="宋体" w:hAnsi="宋体" w:eastAsia="宋体"/>
                <w:color w:val="auto"/>
                <w:sz w:val="21"/>
                <w:szCs w:val="21"/>
                <w:highlight w:val="none"/>
              </w:rPr>
              <w:t>元整（￥</w:t>
            </w:r>
            <w:r>
              <w:rPr>
                <w:rFonts w:hint="eastAsia" w:ascii="宋体" w:hAnsi="宋体" w:eastAsia="宋体"/>
                <w:b/>
                <w:color w:val="auto"/>
                <w:sz w:val="21"/>
                <w:szCs w:val="21"/>
                <w:highlight w:val="none"/>
                <w:lang w:val="en-US" w:eastAsia="zh-CN"/>
              </w:rPr>
              <w:t>4,000.00</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zh-CN"/>
              </w:rPr>
              <w:t>投标保证金须严格按“招标文件第</w:t>
            </w:r>
            <w:r>
              <w:rPr>
                <w:rFonts w:hint="eastAsia" w:ascii="宋体" w:hAnsi="宋体" w:eastAsia="宋体"/>
                <w:color w:val="auto"/>
                <w:sz w:val="21"/>
                <w:szCs w:val="21"/>
                <w:highlight w:val="none"/>
                <w:lang w:val="en-US" w:eastAsia="zh-CN"/>
              </w:rPr>
              <w:t>四部分投</w:t>
            </w:r>
            <w:r>
              <w:rPr>
                <w:rFonts w:hint="eastAsia" w:ascii="宋体" w:hAnsi="宋体" w:eastAsia="宋体"/>
                <w:color w:val="auto"/>
                <w:sz w:val="21"/>
                <w:szCs w:val="21"/>
                <w:highlight w:val="none"/>
                <w:lang w:val="zh-CN"/>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lang w:val="en-US" w:eastAsia="zh-CN"/>
              </w:rPr>
              <w:t>A包</w:t>
            </w:r>
            <w:r>
              <w:rPr>
                <w:rFonts w:hint="eastAsia" w:ascii="宋体" w:hAnsi="宋体" w:eastAsia="宋体"/>
                <w:color w:val="auto"/>
                <w:sz w:val="21"/>
                <w:szCs w:val="21"/>
                <w:highlight w:val="none"/>
                <w:lang w:val="zh-CN"/>
              </w:rPr>
              <w:t>保证金递交账户：</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收款人：三方诚信招标有限公司东莞分公司</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开户行：广发银行股份有限公司东莞南城支行</w:t>
            </w:r>
          </w:p>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帐  号：6232590699050028735</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en-US" w:eastAsia="zh-CN"/>
              </w:rPr>
              <w:t>（5）B包</w:t>
            </w:r>
            <w:r>
              <w:rPr>
                <w:rFonts w:hint="eastAsia" w:ascii="宋体" w:hAnsi="宋体" w:eastAsia="宋体"/>
                <w:color w:val="auto"/>
                <w:sz w:val="21"/>
                <w:szCs w:val="21"/>
                <w:highlight w:val="none"/>
                <w:lang w:val="zh-CN"/>
              </w:rPr>
              <w:t>保证金递交账户：</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收款人：三方诚信招标有限公司东莞分公司</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开户行：广发银行股份有限公司东莞南城支行</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帐  号：6232590699050028750</w:t>
            </w:r>
          </w:p>
          <w:p>
            <w:pPr>
              <w:spacing w:after="0"/>
              <w:jc w:val="both"/>
              <w:rPr>
                <w:color w:val="auto"/>
                <w:highlight w:val="none"/>
              </w:rPr>
            </w:pPr>
            <w:r>
              <w:rPr>
                <w:rFonts w:hint="eastAsia" w:ascii="宋体" w:hAnsi="宋体" w:eastAsia="宋体"/>
                <w:color w:val="auto"/>
                <w:sz w:val="21"/>
                <w:szCs w:val="21"/>
                <w:highlight w:val="none"/>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en-US" w:eastAsia="zh-CN"/>
              </w:rPr>
              <w:t>2</w:t>
            </w:r>
          </w:p>
        </w:tc>
        <w:tc>
          <w:tcPr>
            <w:tcW w:w="7532" w:type="dxa"/>
            <w:gridSpan w:val="4"/>
            <w:vAlign w:val="center"/>
          </w:tcPr>
          <w:p>
            <w:pPr>
              <w:spacing w:after="0"/>
              <w:jc w:val="both"/>
              <w:rPr>
                <w:rFonts w:ascii="宋体" w:hAnsi="宋体" w:eastAsia="宋体"/>
                <w:b/>
                <w:bCs/>
                <w:color w:val="auto"/>
                <w:sz w:val="21"/>
                <w:szCs w:val="21"/>
                <w:highlight w:val="none"/>
                <w:lang w:val="zh-CN"/>
              </w:rPr>
            </w:pPr>
            <w:r>
              <w:rPr>
                <w:rFonts w:hint="eastAsia" w:ascii="宋体" w:hAnsi="宋体" w:eastAsia="宋体"/>
                <w:b/>
                <w:bCs/>
                <w:color w:val="auto"/>
                <w:sz w:val="21"/>
                <w:szCs w:val="21"/>
                <w:highlight w:val="none"/>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）为方便退还未中标的投保人的保证金，投标人应制作《投标保证金汇入情况说明》随开标文件一并递交。</w:t>
            </w:r>
          </w:p>
          <w:p>
            <w:pPr>
              <w:spacing w:after="0"/>
              <w:jc w:val="both"/>
              <w:rPr>
                <w:rFonts w:eastAsia="宋体"/>
                <w:color w:val="auto"/>
                <w:highlight w:val="none"/>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val="zh-CN"/>
              </w:rPr>
              <w:t>）投标保证金退还联系电话：</w:t>
            </w:r>
            <w:r>
              <w:rPr>
                <w:rFonts w:hint="eastAsia" w:ascii="宋体" w:hAnsi="宋体" w:eastAsia="宋体"/>
                <w:color w:val="auto"/>
                <w:sz w:val="21"/>
                <w:szCs w:val="21"/>
                <w:highlight w:val="none"/>
              </w:rPr>
              <w:t>0769-</w:t>
            </w:r>
            <w:r>
              <w:rPr>
                <w:rFonts w:hint="eastAsia" w:ascii="宋体" w:hAnsi="宋体" w:eastAsia="宋体"/>
                <w:color w:val="auto"/>
                <w:sz w:val="21"/>
                <w:szCs w:val="21"/>
                <w:highlight w:val="none"/>
                <w:lang w:eastAsia="zh-CN"/>
              </w:rPr>
              <w:t>2168</w:t>
            </w:r>
            <w:r>
              <w:rPr>
                <w:rFonts w:hint="eastAsia" w:ascii="宋体" w:hAnsi="宋体" w:eastAsia="宋体"/>
                <w:color w:val="auto"/>
                <w:sz w:val="21"/>
                <w:szCs w:val="21"/>
                <w:highlight w:val="none"/>
              </w:rPr>
              <w:t>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13</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14</w:t>
            </w:r>
          </w:p>
        </w:tc>
        <w:tc>
          <w:tcPr>
            <w:tcW w:w="7532" w:type="dxa"/>
            <w:gridSpan w:val="4"/>
            <w:vAlign w:val="center"/>
          </w:tcPr>
          <w:p>
            <w:pPr>
              <w:spacing w:after="0"/>
              <w:jc w:val="center"/>
              <w:rPr>
                <w:rFonts w:hint="eastAsia" w:ascii="宋体" w:hAnsi="宋体" w:eastAsia="宋体"/>
                <w:color w:val="auto"/>
                <w:sz w:val="21"/>
                <w:szCs w:val="21"/>
                <w:highlight w:val="none"/>
              </w:rPr>
            </w:pPr>
            <w:r>
              <w:rPr>
                <w:rFonts w:hint="eastAsia" w:ascii="宋体" w:hAnsi="宋体" w:eastAsia="宋体"/>
                <w:b/>
                <w:color w:val="auto"/>
                <w:sz w:val="21"/>
                <w:szCs w:val="21"/>
                <w:highlight w:val="none"/>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信用中国</w:t>
            </w:r>
          </w:p>
        </w:tc>
        <w:tc>
          <w:tcPr>
            <w:tcW w:w="3766" w:type="dxa"/>
            <w:vAlign w:val="center"/>
          </w:tcPr>
          <w:p>
            <w:pPr>
              <w:spacing w:after="0"/>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https://www.creditchina.gov.cn/</w:t>
            </w:r>
          </w:p>
        </w:tc>
        <w:tc>
          <w:tcPr>
            <w:tcW w:w="3766" w:type="dxa"/>
            <w:vAlign w:val="center"/>
          </w:tcPr>
          <w:p>
            <w:pPr>
              <w:spacing w:after="0"/>
              <w:jc w:val="center"/>
              <w:rPr>
                <w:rFonts w:hint="eastAsia" w:ascii="宋体" w:hAnsi="宋体" w:eastAsia="宋体"/>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15</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投标文件类型</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开标文件</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投标文件正本</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投标文件副本</w:t>
            </w:r>
          </w:p>
        </w:tc>
        <w:tc>
          <w:tcPr>
            <w:tcW w:w="4924" w:type="dxa"/>
            <w:gridSpan w:val="3"/>
            <w:vAlign w:val="center"/>
          </w:tcPr>
          <w:p>
            <w:pPr>
              <w:spacing w:after="0"/>
              <w:jc w:val="center"/>
              <w:rPr>
                <w:rFonts w:hint="default"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电子文档</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857"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16</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17</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见附表</w:t>
            </w:r>
            <w:r>
              <w:rPr>
                <w:rFonts w:hint="eastAsia" w:ascii="宋体" w:hAnsi="宋体" w:eastAsia="宋体"/>
                <w:color w:val="auto"/>
                <w:sz w:val="21"/>
                <w:szCs w:val="21"/>
                <w:highlight w:val="none"/>
                <w:lang w:val="en-US" w:eastAsia="zh-CN"/>
              </w:rPr>
              <w:t>二</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both"/>
              <w:rPr>
                <w:rFonts w:hint="eastAsia" w:ascii="宋体" w:hAnsi="宋体" w:eastAsia="宋体"/>
                <w:color w:val="auto"/>
                <w:sz w:val="21"/>
                <w:szCs w:val="21"/>
                <w:highlight w:val="none"/>
                <w:lang w:val="en-US" w:eastAsia="zh-CN"/>
              </w:rPr>
            </w:pPr>
          </w:p>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18（仅适用于政府采</w:t>
            </w:r>
          </w:p>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购项目）</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对于联合协议或者分包意向协议约定小微企业的合同份额占到合同总金额30%以上的，报价给予</w:t>
            </w:r>
            <w:r>
              <w:rPr>
                <w:rFonts w:hint="default" w:ascii="宋体" w:hAnsi="宋体" w:eastAsia="宋体"/>
                <w:b/>
                <w:bCs/>
                <w:color w:val="auto"/>
                <w:sz w:val="21"/>
                <w:szCs w:val="21"/>
                <w:highlight w:val="none"/>
                <w:u w:val="single"/>
              </w:rPr>
              <w:t>2%</w:t>
            </w:r>
            <w:r>
              <w:rPr>
                <w:rFonts w:hint="eastAsia" w:ascii="宋体" w:hAnsi="宋体" w:eastAsia="宋体"/>
                <w:color w:val="auto"/>
                <w:sz w:val="21"/>
                <w:szCs w:val="21"/>
                <w:highlight w:val="none"/>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bCs/>
                <w:color w:val="auto"/>
                <w:sz w:val="21"/>
                <w:szCs w:val="21"/>
                <w:highlight w:val="none"/>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该</w:t>
            </w:r>
            <w:r>
              <w:rPr>
                <w:rFonts w:hint="eastAsia" w:ascii="宋体" w:hAnsi="宋体" w:eastAsia="宋体"/>
                <w:color w:val="auto"/>
                <w:sz w:val="21"/>
                <w:szCs w:val="21"/>
                <w:highlight w:val="none"/>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19</w:t>
            </w:r>
          </w:p>
        </w:tc>
        <w:tc>
          <w:tcPr>
            <w:tcW w:w="7532" w:type="dxa"/>
            <w:gridSpan w:val="4"/>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20</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5"/>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注：本表关于要采购项目的具体资料，是对投标人须知的具体补充和修改，如有矛盾，应以本资料表为准。</w:t>
            </w:r>
          </w:p>
        </w:tc>
      </w:tr>
    </w:tbl>
    <w:p>
      <w:pPr>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jc w:val="both"/>
        <w:rPr>
          <w:color w:val="auto"/>
          <w:highlight w:val="none"/>
        </w:rPr>
      </w:pPr>
      <w:r>
        <w:rPr>
          <w:rFonts w:hint="eastAsia"/>
          <w:color w:val="auto"/>
          <w:highlight w:val="none"/>
        </w:rPr>
        <w:br w:type="page"/>
      </w:r>
    </w:p>
    <w:p>
      <w:pPr>
        <w:pStyle w:val="4"/>
        <w:spacing w:before="0" w:after="0" w:line="240" w:lineRule="auto"/>
        <w:jc w:val="center"/>
        <w:rPr>
          <w:rFonts w:hint="eastAsia" w:ascii="宋体" w:hAnsi="宋体" w:eastAsia="宋体" w:cs="宋体"/>
          <w:color w:val="auto"/>
          <w:sz w:val="24"/>
          <w:szCs w:val="24"/>
          <w:highlight w:val="none"/>
          <w:lang w:eastAsia="zh-CN"/>
        </w:rPr>
      </w:pPr>
      <w:bookmarkStart w:id="3" w:name="_Toc11083"/>
      <w:r>
        <w:rPr>
          <w:rFonts w:hint="eastAsia" w:ascii="宋体" w:hAnsi="宋体" w:eastAsia="宋体" w:cs="宋体"/>
          <w:color w:val="auto"/>
          <w:sz w:val="24"/>
          <w:szCs w:val="24"/>
          <w:highlight w:val="none"/>
        </w:rPr>
        <w:t>附表二：商务技术评分及价格权重表</w:t>
      </w:r>
      <w:bookmarkEnd w:id="3"/>
      <w:r>
        <w:rPr>
          <w:rFonts w:hint="eastAsia" w:ascii="宋体" w:hAnsi="宋体" w:eastAsia="宋体" w:cs="宋体"/>
          <w:color w:val="auto"/>
          <w:sz w:val="24"/>
          <w:szCs w:val="24"/>
          <w:highlight w:val="none"/>
          <w:lang w:eastAsia="zh-CN"/>
        </w:rPr>
        <w:t>（适用于包</w:t>
      </w:r>
      <w:r>
        <w:rPr>
          <w:rFonts w:hint="eastAsia" w:ascii="宋体" w:hAnsi="宋体" w:eastAsia="宋体" w:cs="宋体"/>
          <w:color w:val="auto"/>
          <w:sz w:val="24"/>
          <w:szCs w:val="24"/>
          <w:highlight w:val="none"/>
          <w:lang w:val="en-US" w:eastAsia="zh-CN"/>
        </w:rPr>
        <w:t>A、B</w:t>
      </w:r>
      <w:r>
        <w:rPr>
          <w:rFonts w:hint="eastAsia" w:ascii="宋体" w:hAnsi="宋体" w:eastAsia="宋体" w:cs="宋体"/>
          <w:color w:val="auto"/>
          <w:sz w:val="24"/>
          <w:szCs w:val="24"/>
          <w:highlight w:val="none"/>
          <w:lang w:eastAsia="zh-CN"/>
        </w:rPr>
        <w:t>）</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序号</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评审项目</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分值</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商务评审</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20分</w:t>
            </w:r>
            <w:r>
              <w:rPr>
                <w:rFonts w:hint="eastAsia" w:asci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690" w:type="dxa"/>
            <w:tcBorders>
              <w:top w:val="single" w:color="auto" w:sz="4" w:space="0"/>
              <w:left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7" w:type="dxa"/>
            <w:tcBorders>
              <w:top w:val="single" w:color="auto" w:sz="4" w:space="0"/>
              <w:left w:val="single" w:color="auto" w:sz="4" w:space="0"/>
              <w:right w:val="single" w:color="auto" w:sz="4" w:space="0"/>
            </w:tcBorders>
            <w:noWrap w:val="0"/>
            <w:vAlign w:val="center"/>
          </w:tcPr>
          <w:p>
            <w:pPr>
              <w:pStyle w:val="29"/>
              <w:spacing w:line="340" w:lineRule="exact"/>
              <w:ind w:firstLine="0" w:firstLineChars="0"/>
              <w:jc w:val="center"/>
              <w:rPr>
                <w:rFonts w:ascii="宋体" w:hAnsi="宋体" w:eastAsia="宋体" w:cs="宋体"/>
                <w:color w:val="auto"/>
                <w:kern w:val="2"/>
                <w:sz w:val="21"/>
                <w:szCs w:val="21"/>
                <w:highlight w:val="none"/>
                <w:lang w:val="en-US" w:eastAsia="zh-CN" w:bidi="ar-SA"/>
              </w:rPr>
            </w:pPr>
            <w:r>
              <w:rPr>
                <w:rFonts w:hint="eastAsia" w:ascii="宋体" w:eastAsia="宋体" w:cs="宋体"/>
                <w:color w:val="auto"/>
                <w:sz w:val="21"/>
                <w:szCs w:val="21"/>
                <w:highlight w:val="none"/>
              </w:rPr>
              <w:t>相关业绩</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宋体" w:eastAsia="宋体" w:cs="宋体"/>
                <w:color w:val="auto"/>
                <w:sz w:val="21"/>
                <w:szCs w:val="21"/>
                <w:highlight w:val="none"/>
                <w:lang w:val="en-US" w:eastAsia="zh-CN"/>
              </w:rPr>
              <w:t>15分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ar-SA"/>
              </w:rPr>
              <w:t>201</w:t>
            </w:r>
            <w:r>
              <w:rPr>
                <w:rFonts w:hint="eastAsia" w:ascii="宋体" w:hAnsi="宋体" w:eastAsia="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zh-CN" w:eastAsia="zh-CN" w:bidi="ar-SA"/>
              </w:rPr>
              <w:t>年以来完成同类（体育用品）项目业绩的每个业绩得</w:t>
            </w: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zh-CN" w:eastAsia="zh-CN" w:bidi="ar-SA"/>
              </w:rPr>
              <w:t>分，其它不得分，最高得</w:t>
            </w:r>
            <w:r>
              <w:rPr>
                <w:rFonts w:hint="eastAsia" w:ascii="宋体" w:hAnsi="宋体" w:eastAsia="宋体" w:cs="宋体"/>
                <w:color w:val="auto"/>
                <w:kern w:val="2"/>
                <w:sz w:val="21"/>
                <w:szCs w:val="21"/>
                <w:highlight w:val="none"/>
                <w:lang w:val="en-US" w:eastAsia="zh-CN" w:bidi="ar-SA"/>
              </w:rPr>
              <w:t>15</w:t>
            </w:r>
            <w:r>
              <w:rPr>
                <w:rFonts w:hint="eastAsia" w:ascii="宋体" w:hAnsi="宋体" w:eastAsia="宋体" w:cs="宋体"/>
                <w:color w:val="auto"/>
                <w:kern w:val="2"/>
                <w:sz w:val="21"/>
                <w:szCs w:val="21"/>
                <w:highlight w:val="none"/>
                <w:lang w:val="zh-CN" w:eastAsia="zh-CN" w:bidi="ar-SA"/>
              </w:rPr>
              <w:t>分。</w:t>
            </w:r>
          </w:p>
          <w:p>
            <w:pPr>
              <w:pStyle w:val="29"/>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textAlignment w:val="auto"/>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ar-SA"/>
              </w:rPr>
              <w:t>（提供合同复印件并加盖公章。</w:t>
            </w:r>
            <w:r>
              <w:rPr>
                <w:rFonts w:hint="eastAsia" w:ascii="宋体" w:eastAsia="宋体" w:cs="宋体"/>
                <w:color w:val="auto"/>
                <w:kern w:val="2"/>
                <w:sz w:val="21"/>
                <w:szCs w:val="21"/>
                <w:highlight w:val="none"/>
                <w:lang w:val="zh-CN" w:eastAsia="zh-CN" w:bidi="ar-SA"/>
              </w:rPr>
              <w:t>缺其中一个不得分</w:t>
            </w:r>
            <w:r>
              <w:rPr>
                <w:rFonts w:hint="eastAsia" w:ascii="宋体" w:hAnsi="宋体" w:eastAsia="宋体" w:cs="宋体"/>
                <w:color w:val="auto"/>
                <w:kern w:val="2"/>
                <w:sz w:val="21"/>
                <w:szCs w:val="21"/>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0" w:type="dxa"/>
            <w:tcBorders>
              <w:left w:val="single" w:color="auto" w:sz="4" w:space="0"/>
              <w:right w:val="single" w:color="auto" w:sz="4" w:space="0"/>
            </w:tcBorders>
            <w:noWrap w:val="0"/>
            <w:vAlign w:val="center"/>
          </w:tcPr>
          <w:p>
            <w:pPr>
              <w:pStyle w:val="29"/>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2</w:t>
            </w:r>
          </w:p>
        </w:tc>
        <w:tc>
          <w:tcPr>
            <w:tcW w:w="1607" w:type="dxa"/>
            <w:tcBorders>
              <w:left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eastAsia="宋体" w:cs="宋体"/>
                <w:color w:val="auto"/>
                <w:sz w:val="21"/>
                <w:szCs w:val="21"/>
                <w:highlight w:val="none"/>
                <w:lang w:eastAsia="zh-CN"/>
              </w:rPr>
              <w:t>服务便利性</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eastAsia="宋体" w:cs="宋体"/>
                <w:color w:val="auto"/>
                <w:sz w:val="21"/>
                <w:szCs w:val="21"/>
                <w:highlight w:val="none"/>
                <w:lang w:val="en-US" w:eastAsia="zh-CN"/>
              </w:rPr>
              <w:t>5分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根据投标人提供的服务响应时间承诺进行评分。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投标人承诺在接到采购人通知后2小时内到现场，得5分；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投标人承诺在接到采购人通知后6小时内到现场，得2分；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投标人承诺在接到采购人通知后12小时内到现场，得1分；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其他不得分。</w:t>
            </w:r>
          </w:p>
          <w:p>
            <w:pPr>
              <w:pStyle w:val="29"/>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textAlignment w:val="auto"/>
              <w:rPr>
                <w:rFonts w:hint="eastAsia" w:ascii="宋体" w:hAnsi="宋体" w:eastAsia="宋体" w:cs="宋体"/>
                <w:bCs/>
                <w:color w:val="auto"/>
                <w:kern w:val="2"/>
                <w:sz w:val="21"/>
                <w:szCs w:val="21"/>
                <w:highlight w:val="none"/>
                <w:lang w:val="pt-BR" w:eastAsia="zh-CN" w:bidi="ar-SA"/>
              </w:rPr>
            </w:pPr>
            <w:r>
              <w:rPr>
                <w:rFonts w:hint="eastAsia" w:ascii="宋体" w:hAnsi="宋体" w:eastAsia="宋体" w:cs="宋体"/>
                <w:color w:val="auto"/>
                <w:kern w:val="2"/>
                <w:sz w:val="21"/>
                <w:szCs w:val="21"/>
                <w:highlight w:val="none"/>
                <w:lang w:val="en-US" w:eastAsia="zh-CN" w:bidi="ar-SA"/>
              </w:rPr>
              <w:t>注：投标人需提供服务承诺书，并加盖投标人公章。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技术评审</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50分</w:t>
            </w:r>
            <w:r>
              <w:rPr>
                <w:rFonts w:hint="eastAsia" w:asci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40" w:lineRule="exact"/>
              <w:ind w:firstLine="0" w:firstLineChars="0"/>
              <w:jc w:val="center"/>
              <w:rPr>
                <w:rFonts w:asci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供货方案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40" w:lineRule="exact"/>
              <w:ind w:firstLine="0" w:firstLineChars="0"/>
              <w:jc w:val="center"/>
              <w:rPr>
                <w:rFonts w:asci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15分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ar-SA"/>
              </w:rPr>
              <w:t>根据投标人提供的供货方案进行综合评价。</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供货方案科学完整，有合理的进度安排，可行性强，得15分。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供货方案基本完整，有基本的进度安排，可行性一般，得10分。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供货方案简单，可行性差，得5分。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en-US" w:eastAsia="zh-CN" w:bidi="ar-SA"/>
              </w:rPr>
              <w:t>无提供项目供货方案，得0分。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400" w:lineRule="exact"/>
              <w:ind w:firstLine="0" w:firstLineChars="0"/>
              <w:jc w:val="center"/>
              <w:rPr>
                <w:rFonts w:asci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产品性能</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eastAsia="新宋体" w:cs="宋体"/>
                <w:color w:val="auto"/>
                <w:sz w:val="21"/>
                <w:szCs w:val="21"/>
                <w:highlight w:val="none"/>
                <w:lang w:eastAsia="zh-CN"/>
              </w:rPr>
            </w:pPr>
            <w:r>
              <w:rPr>
                <w:rFonts w:hint="eastAsia" w:ascii="新宋体" w:hAnsi="新宋体" w:eastAsia="新宋体" w:cs="宋体"/>
                <w:bCs/>
                <w:color w:val="auto"/>
                <w:highlight w:val="none"/>
              </w:rPr>
              <w:t>1</w:t>
            </w:r>
            <w:r>
              <w:rPr>
                <w:rFonts w:hint="eastAsia" w:ascii="新宋体" w:hAnsi="新宋体" w:eastAsia="新宋体" w:cs="宋体"/>
                <w:bCs/>
                <w:color w:val="auto"/>
                <w:highlight w:val="none"/>
                <w:lang w:val="en-US" w:eastAsia="zh-CN"/>
              </w:rPr>
              <w:t>0</w:t>
            </w:r>
            <w:r>
              <w:rPr>
                <w:rFonts w:hint="eastAsia" w:ascii="新宋体" w:hAnsi="新宋体" w:eastAsia="新宋体" w:cs="宋体"/>
                <w:bCs/>
                <w:color w:val="auto"/>
                <w:highlight w:val="none"/>
                <w:lang w:eastAsia="zh-CN"/>
              </w:rPr>
              <w:t>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根据投标产品的品牌档次、质量、适用性、耐用情况等进行综合评审。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投标产品完全满足文件要求，适用性强，耐用，得10分。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投标产品基本满足文件要求，适用性一般，较耐用，得7分。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投标产品不满足文件要求，适用性差，不耐用，得3分。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en-US" w:eastAsia="zh-CN" w:bidi="ar-SA"/>
              </w:rPr>
              <w:t>无提供投标产品说明，得0分。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3</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ind w:firstLine="0" w:firstLineChars="0"/>
              <w:jc w:val="center"/>
              <w:rPr>
                <w:rFonts w:asci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投标样品</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240" w:lineRule="auto"/>
              <w:ind w:firstLine="0" w:firstLineChars="0"/>
              <w:jc w:val="center"/>
              <w:rPr>
                <w:rFonts w:ascii="宋体" w:eastAsia="宋体" w:cs="宋体"/>
                <w:color w:val="auto"/>
                <w:sz w:val="21"/>
                <w:szCs w:val="21"/>
                <w:highlight w:val="none"/>
              </w:rPr>
            </w:pPr>
            <w:r>
              <w:rPr>
                <w:rFonts w:hint="eastAsia" w:ascii="新宋体" w:hAnsi="新宋体" w:eastAsia="新宋体" w:cs="宋体"/>
                <w:bCs/>
                <w:color w:val="auto"/>
                <w:kern w:val="2"/>
                <w:sz w:val="22"/>
                <w:szCs w:val="22"/>
                <w:highlight w:val="none"/>
                <w:lang w:val="en-US" w:eastAsia="zh-CN" w:bidi="ar-SA"/>
              </w:rPr>
              <w:t>15分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根据投标人提供样品的面料、颜色和款式的质量、舒适性、美观性等进行综合评审：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面料好、颜色正常、款式新颖、质量好、舒适度高、美观，15分，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面料较好、颜色正常、款式一般、质量较好、舒适度一般、较美观，10分，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面料差、颜色正常、款式一般、质量较差、舒适度一般、美观性一般，5分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en-US" w:eastAsia="zh-CN" w:bidi="ar-SA"/>
              </w:rPr>
              <w:t>未提供样品不得分。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4</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tabs>
                <w:tab w:val="left" w:pos="8610"/>
              </w:tabs>
              <w:spacing w:line="3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40" w:lineRule="exact"/>
              <w:ind w:firstLine="0" w:firstLineChars="0"/>
              <w:jc w:val="center"/>
              <w:rPr>
                <w:rFonts w:asci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10分</w:t>
            </w:r>
          </w:p>
        </w:tc>
        <w:tc>
          <w:tcPr>
            <w:tcW w:w="5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根据投标人的服务承诺、对本项目提出的合理化建议进行综合评审。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服务承诺优于文件要求，能对本项目提出科学的合理化建议，针对性强，得10分。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服务承诺基本满足文件要求，能对本项目提出一定的合理化建议，针对性一般，得6分。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服务承诺简单，不能对本项目提出合理化建议，得2分。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kern w:val="2"/>
                <w:sz w:val="21"/>
                <w:szCs w:val="21"/>
                <w:highlight w:val="none"/>
                <w:lang w:val="en-US" w:eastAsia="zh-CN" w:bidi="ar-SA"/>
              </w:rPr>
              <w:t>无提供服务承诺及合理化建议说明，得0分。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注：</w:t>
            </w:r>
          </w:p>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hint="eastAsia" w:ascii="宋体" w:eastAsia="宋体" w:cs="宋体"/>
                <w:color w:val="auto"/>
                <w:sz w:val="21"/>
                <w:szCs w:val="21"/>
                <w:highlight w:val="none"/>
              </w:rPr>
            </w:pPr>
            <w:r>
              <w:rPr>
                <w:rFonts w:hint="eastAsia" w:ascii="宋体" w:hAnsi="宋体" w:eastAsia="宋体"/>
                <w:b/>
                <w:color w:val="auto"/>
                <w:sz w:val="21"/>
                <w:szCs w:val="21"/>
                <w:highlight w:val="none"/>
              </w:rPr>
              <w:t>（2）投标人根据以上评分要求提供的</w:t>
            </w:r>
            <w:r>
              <w:rPr>
                <w:rFonts w:hint="eastAsia" w:ascii="宋体" w:hAnsi="宋体" w:eastAsia="宋体"/>
                <w:b/>
                <w:color w:val="auto"/>
                <w:sz w:val="21"/>
                <w:szCs w:val="21"/>
                <w:highlight w:val="none"/>
                <w:lang w:eastAsia="zh-CN"/>
              </w:rPr>
              <w:t>投标材料</w:t>
            </w:r>
            <w:r>
              <w:rPr>
                <w:rFonts w:hint="eastAsia" w:ascii="宋体" w:hAnsi="宋体" w:eastAsia="宋体"/>
                <w:b/>
                <w:color w:val="auto"/>
                <w:sz w:val="21"/>
                <w:szCs w:val="21"/>
                <w:highlight w:val="none"/>
              </w:rPr>
              <w:t>因模糊不清导致评标委员会无法清晰辨认进行评审的，</w:t>
            </w:r>
            <w:r>
              <w:rPr>
                <w:rFonts w:hint="eastAsia" w:ascii="宋体" w:hAnsi="宋体" w:eastAsia="宋体"/>
                <w:b/>
                <w:color w:val="auto"/>
                <w:sz w:val="21"/>
                <w:szCs w:val="21"/>
                <w:highlight w:val="none"/>
                <w:lang w:eastAsia="zh-CN"/>
              </w:rPr>
              <w:t>视为无效材料</w:t>
            </w:r>
            <w:r>
              <w:rPr>
                <w:rFonts w:hint="eastAsia" w:ascii="宋体" w:hAnsi="宋体" w:eastAsia="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zh-CN" w:eastAsia="zh-CN"/>
              </w:rPr>
            </w:pPr>
            <w:r>
              <w:rPr>
                <w:rFonts w:hint="eastAsia" w:ascii="宋体" w:eastAsia="宋体" w:cs="宋体"/>
                <w:color w:val="auto"/>
                <w:sz w:val="21"/>
                <w:szCs w:val="21"/>
                <w:highlight w:val="none"/>
              </w:rPr>
              <w:t>价格评审</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30分</w:t>
            </w:r>
            <w:r>
              <w:rPr>
                <w:rFonts w:hint="eastAsia" w:asci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pStyle w:val="29"/>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w:t>
            </w:r>
          </w:p>
        </w:tc>
        <w:tc>
          <w:tcPr>
            <w:tcW w:w="78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07"/>
              </w:tabs>
              <w:adjustRightInd/>
              <w:snapToGrid/>
              <w:spacing w:after="0" w:line="360" w:lineRule="auto"/>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价格分计算方法：满足招标文件要求且投标价格最低的投标报价为评标基准价，其价格分为满分。其他投标人的价格分统一按照下列公式计算：</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投标报价得分=(评标基准价／投标报价)×价格权值</w:t>
            </w:r>
          </w:p>
        </w:tc>
      </w:tr>
    </w:tbl>
    <w:p>
      <w:pPr>
        <w:pStyle w:val="3"/>
        <w:spacing w:before="0" w:after="0" w:line="240" w:lineRule="auto"/>
        <w:rPr>
          <w:color w:val="auto"/>
          <w:sz w:val="28"/>
          <w:szCs w:val="28"/>
          <w:highlight w:val="none"/>
        </w:rPr>
      </w:pPr>
      <w:r>
        <w:rPr>
          <w:rFonts w:hint="eastAsia"/>
          <w:color w:val="auto"/>
          <w:sz w:val="28"/>
          <w:szCs w:val="28"/>
          <w:highlight w:val="none"/>
        </w:rPr>
        <w:br w:type="page"/>
      </w:r>
    </w:p>
    <w:p>
      <w:pPr>
        <w:pStyle w:val="3"/>
        <w:spacing w:before="0" w:after="0" w:line="240" w:lineRule="auto"/>
        <w:rPr>
          <w:color w:val="auto"/>
          <w:sz w:val="36"/>
          <w:szCs w:val="36"/>
          <w:highlight w:val="none"/>
        </w:rPr>
      </w:pPr>
      <w:bookmarkStart w:id="4" w:name="_Toc23932"/>
      <w:r>
        <w:rPr>
          <w:rFonts w:hint="eastAsia"/>
          <w:color w:val="auto"/>
          <w:sz w:val="28"/>
          <w:szCs w:val="28"/>
          <w:highlight w:val="none"/>
        </w:rPr>
        <w:t>第三部分 用户需求书</w:t>
      </w:r>
      <w:bookmarkEnd w:id="4"/>
    </w:p>
    <w:p>
      <w:pPr>
        <w:pStyle w:val="4"/>
        <w:spacing w:before="0" w:after="0" w:line="240" w:lineRule="auto"/>
        <w:jc w:val="center"/>
        <w:rPr>
          <w:rFonts w:hint="eastAsia" w:ascii="宋体" w:hAnsi="宋体" w:eastAsia="宋体" w:cs="宋体"/>
          <w:color w:val="auto"/>
          <w:sz w:val="24"/>
          <w:szCs w:val="24"/>
          <w:highlight w:val="none"/>
          <w:lang w:eastAsia="zh-CN"/>
        </w:rPr>
      </w:pPr>
      <w:bookmarkStart w:id="5" w:name="_Toc3182"/>
      <w:r>
        <w:rPr>
          <w:rFonts w:hint="eastAsia" w:ascii="宋体" w:hAnsi="宋体" w:eastAsia="宋体" w:cs="宋体"/>
          <w:color w:val="auto"/>
          <w:sz w:val="24"/>
          <w:szCs w:val="24"/>
          <w:highlight w:val="none"/>
        </w:rPr>
        <w:t>用户需求明细</w:t>
      </w:r>
      <w:bookmarkEnd w:id="5"/>
      <w:r>
        <w:rPr>
          <w:rFonts w:hint="eastAsia" w:ascii="宋体" w:hAnsi="宋体" w:eastAsia="宋体" w:cs="宋体"/>
          <w:color w:val="auto"/>
          <w:sz w:val="24"/>
          <w:szCs w:val="24"/>
          <w:highlight w:val="none"/>
          <w:lang w:eastAsia="zh-CN"/>
        </w:rPr>
        <w:t>（适用于包</w:t>
      </w: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lang w:eastAsia="zh-CN"/>
        </w:rPr>
        <w:t>）</w:t>
      </w:r>
    </w:p>
    <w:p>
      <w:pPr>
        <w:spacing w:after="0"/>
        <w:jc w:val="both"/>
        <w:rPr>
          <w:rFonts w:ascii="宋体" w:hAnsi="宋体" w:eastAsia="宋体"/>
          <w:b/>
          <w:color w:val="auto"/>
          <w:sz w:val="24"/>
          <w:highlight w:val="none"/>
        </w:rPr>
      </w:pPr>
    </w:p>
    <w:p>
      <w:pPr>
        <w:pStyle w:val="26"/>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ind w:leftChars="0"/>
        <w:textAlignment w:val="auto"/>
        <w:outlineLvl w:val="9"/>
        <w:rPr>
          <w:rFonts w:ascii="宋体" w:hAnsi="宋体" w:eastAsia="宋体" w:cs="Times New Roman"/>
          <w:b/>
          <w:bCs/>
          <w:color w:val="auto"/>
          <w:sz w:val="21"/>
          <w:szCs w:val="21"/>
          <w:highlight w:val="none"/>
        </w:rPr>
      </w:pPr>
      <w:r>
        <w:rPr>
          <w:rFonts w:hint="eastAsia" w:ascii="宋体" w:hAnsi="宋体" w:eastAsia="宋体"/>
          <w:b/>
          <w:color w:val="auto"/>
          <w:sz w:val="24"/>
          <w:highlight w:val="none"/>
          <w:lang w:eastAsia="zh-CN"/>
        </w:rPr>
        <w:t>一、运动服装采购清单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8"/>
        <w:gridCol w:w="1476"/>
        <w:gridCol w:w="638"/>
        <w:gridCol w:w="638"/>
        <w:gridCol w:w="320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7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74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名称</w:t>
            </w:r>
          </w:p>
        </w:tc>
        <w:tc>
          <w:tcPr>
            <w:tcW w:w="37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37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21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技术参数</w:t>
            </w:r>
          </w:p>
        </w:tc>
        <w:tc>
          <w:tcPr>
            <w:tcW w:w="950"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4" w:hRule="atLeast"/>
        </w:trPr>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2"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olor w:val="auto"/>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运动长套服</w:t>
            </w:r>
          </w:p>
        </w:tc>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470</w:t>
            </w:r>
          </w:p>
        </w:tc>
        <w:tc>
          <w:tcPr>
            <w:tcW w:w="218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面料成分：100%聚酯纤维</w:t>
            </w:r>
          </w:p>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产品特点：经典款式运动风衣，男女同款运动出场服。个性醒目的颜色搭配，采用梭织风衣材料，穿着简约舒适。科技TPU工艺两侧拉链口袋设计，方便携带物品。</w:t>
            </w:r>
          </w:p>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尺码：XS-5XL</w:t>
            </w:r>
          </w:p>
        </w:tc>
        <w:tc>
          <w:tcPr>
            <w:tcW w:w="950" w:type="pct"/>
            <w:vMerge w:val="restart"/>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color w:val="auto"/>
                <w:highlight w:val="none"/>
              </w:rPr>
              <w:drawing>
                <wp:anchor distT="0" distB="0" distL="114300" distR="114300" simplePos="0" relativeHeight="251671552" behindDoc="0" locked="0" layoutInCell="1" allowOverlap="1">
                  <wp:simplePos x="0" y="0"/>
                  <wp:positionH relativeFrom="column">
                    <wp:posOffset>250825</wp:posOffset>
                  </wp:positionH>
                  <wp:positionV relativeFrom="paragraph">
                    <wp:posOffset>1457325</wp:posOffset>
                  </wp:positionV>
                  <wp:extent cx="588010" cy="1350645"/>
                  <wp:effectExtent l="0" t="0" r="2540" b="1905"/>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88010" cy="1350645"/>
                          </a:xfrm>
                          <a:prstGeom prst="rect">
                            <a:avLst/>
                          </a:prstGeom>
                          <a:noFill/>
                          <a:ln>
                            <a:noFill/>
                          </a:ln>
                        </pic:spPr>
                      </pic:pic>
                    </a:graphicData>
                  </a:graphic>
                </wp:anchor>
              </w:drawing>
            </w:r>
            <w:r>
              <w:rPr>
                <w:color w:val="auto"/>
                <w:highlight w:val="none"/>
              </w:rPr>
              <w:drawing>
                <wp:anchor distT="0" distB="0" distL="114300" distR="114300" simplePos="0" relativeHeight="251670528" behindDoc="0" locked="0" layoutInCell="1" allowOverlap="1">
                  <wp:simplePos x="0" y="0"/>
                  <wp:positionH relativeFrom="column">
                    <wp:posOffset>84455</wp:posOffset>
                  </wp:positionH>
                  <wp:positionV relativeFrom="paragraph">
                    <wp:posOffset>170815</wp:posOffset>
                  </wp:positionV>
                  <wp:extent cx="964565" cy="1165225"/>
                  <wp:effectExtent l="0" t="0" r="6985" b="15875"/>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964565" cy="11652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9" w:hRule="atLeast"/>
        </w:trPr>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2"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218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面料成分：95%聚酯纤维/5%氨纶                   </w:t>
            </w:r>
          </w:p>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产品特点：直筒平口卫裤，面料舒适亲肤。腰部松紧设计，自由灵活调节。两侧拉链口袋搭配印花设计，美观又便于收纳随身物品，安全实用。    </w:t>
            </w:r>
          </w:p>
          <w:p>
            <w:pPr>
              <w:keepNext w:val="0"/>
              <w:keepLines w:val="0"/>
              <w:pageBreakBefore w:val="0"/>
              <w:widowControl/>
              <w:suppressLineNumbers w:val="0"/>
              <w:kinsoku/>
              <w:wordWrap/>
              <w:overflowPunct/>
              <w:topLinePunct w:val="0"/>
              <w:autoSpaceDE/>
              <w:autoSpaceDN/>
              <w:bidi w:val="0"/>
              <w:adjustRightInd w:val="0"/>
              <w:snapToGrid w:val="0"/>
              <w:spacing w:before="73" w:beforeLines="20" w:after="73" w:afterLines="2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尺码：XS-5XL</w:t>
            </w:r>
          </w:p>
        </w:tc>
        <w:tc>
          <w:tcPr>
            <w:tcW w:w="950"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40" w:hRule="atLeast"/>
        </w:trPr>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2"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POLO</w:t>
            </w:r>
          </w:p>
        </w:tc>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37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940</w:t>
            </w:r>
          </w:p>
        </w:tc>
        <w:tc>
          <w:tcPr>
            <w:tcW w:w="2183" w:type="pct"/>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面料成分： 54%棉+46%  聚酯纤维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产品特点：经典时尚短袖POLO衫，采用丝盖棉珠地材料，辅于功能性纱线，面料光泽手感好。低领设计使领型更加立体有型，搭配条纹撞色设计打破呆板，撞出时尚感。大胆的侧开脚叉更便于穿着舒适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男尺码范围： S-6XL</w:t>
            </w:r>
          </w:p>
        </w:tc>
        <w:tc>
          <w:tcPr>
            <w:tcW w:w="950" w:type="pct"/>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color w:val="auto"/>
                <w:highlight w:val="none"/>
              </w:rPr>
              <w:drawing>
                <wp:inline distT="0" distB="0" distL="114300" distR="114300">
                  <wp:extent cx="1080135" cy="1360170"/>
                  <wp:effectExtent l="0" t="0" r="5715" b="1143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1080135" cy="13601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70" w:hRule="atLeast"/>
        </w:trPr>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2"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2183" w:type="pct"/>
            <w:vMerge w:val="continue"/>
            <w:shd w:val="clear" w:color="auto" w:fill="auto"/>
            <w:vAlign w:val="center"/>
          </w:tcPr>
          <w:p>
            <w:pPr>
              <w:jc w:val="left"/>
              <w:rPr>
                <w:rFonts w:hint="eastAsia" w:ascii="宋体" w:hAnsi="宋体" w:eastAsia="宋体" w:cs="宋体"/>
                <w:i w:val="0"/>
                <w:iCs w:val="0"/>
                <w:color w:val="auto"/>
                <w:sz w:val="21"/>
                <w:szCs w:val="21"/>
                <w:highlight w:val="none"/>
                <w:u w:val="none"/>
              </w:rPr>
            </w:pP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color w:val="auto"/>
                <w:highlight w:val="none"/>
              </w:rPr>
              <w:drawing>
                <wp:inline distT="0" distB="0" distL="114300" distR="114300">
                  <wp:extent cx="1080135" cy="1245870"/>
                  <wp:effectExtent l="0" t="0" r="5715" b="1143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2"/>
                          <a:stretch>
                            <a:fillRect/>
                          </a:stretch>
                        </pic:blipFill>
                        <pic:spPr>
                          <a:xfrm>
                            <a:off x="0" y="0"/>
                            <a:ext cx="1080135" cy="12458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40" w:hRule="atLeast"/>
        </w:trPr>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2"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POLO</w:t>
            </w: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2183" w:type="pct"/>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面料成分： 54%棉+46%  聚酯纤维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产品特点：经典时尚短袖POLO衫，采用丝盖棉珠地材料，辅于功能性纱线，面料光泽手感好。低领设计使领型更加立体有型，搭配条纹撞色设计打破呆板，撞出时尚感。大胆的侧开脚叉更便于穿着舒适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女尺码范围： XS-3XL</w:t>
            </w: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color w:val="auto"/>
                <w:highlight w:val="none"/>
              </w:rPr>
              <w:drawing>
                <wp:inline distT="0" distB="0" distL="114300" distR="114300">
                  <wp:extent cx="1080135" cy="1360170"/>
                  <wp:effectExtent l="0" t="0" r="5715" b="1143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1080135" cy="13601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40" w:hRule="atLeast"/>
        </w:trPr>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2"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2183" w:type="pct"/>
            <w:vMerge w:val="continue"/>
            <w:shd w:val="clear" w:color="auto" w:fill="auto"/>
            <w:vAlign w:val="center"/>
          </w:tcPr>
          <w:p>
            <w:pPr>
              <w:jc w:val="left"/>
              <w:rPr>
                <w:rFonts w:hint="eastAsia" w:ascii="宋体" w:hAnsi="宋体" w:eastAsia="宋体" w:cs="宋体"/>
                <w:i w:val="0"/>
                <w:iCs w:val="0"/>
                <w:color w:val="auto"/>
                <w:sz w:val="21"/>
                <w:szCs w:val="21"/>
                <w:highlight w:val="none"/>
                <w:u w:val="none"/>
              </w:rPr>
            </w:pPr>
          </w:p>
        </w:tc>
        <w:tc>
          <w:tcPr>
            <w:tcW w:w="95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color w:val="auto"/>
                <w:highlight w:val="none"/>
              </w:rPr>
              <w:drawing>
                <wp:inline distT="0" distB="0" distL="114300" distR="114300">
                  <wp:extent cx="1080135" cy="1318895"/>
                  <wp:effectExtent l="0" t="0" r="5715" b="1460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stretch>
                            <a:fillRect/>
                          </a:stretch>
                        </pic:blipFill>
                        <pic:spPr>
                          <a:xfrm>
                            <a:off x="0" y="0"/>
                            <a:ext cx="1080135" cy="13188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374"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2"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慢跑鞋</w:t>
            </w:r>
          </w:p>
        </w:tc>
        <w:tc>
          <w:tcPr>
            <w:tcW w:w="374"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c>
          <w:tcPr>
            <w:tcW w:w="374"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470</w:t>
            </w:r>
          </w:p>
        </w:tc>
        <w:tc>
          <w:tcPr>
            <w:tcW w:w="2183" w:type="pct"/>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材质：橡胶大底+IP中底；纺织品+热贴膜</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产品特点：赤霄一体织透气减震跑鞋，鞋面采用一体织莱卡材质，透气舒适。</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男尺码范围：39-45（6.5-11）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女尺码范围：35-40（5-9）</w:t>
            </w: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7" w:hRule="atLeast"/>
        </w:trPr>
        <w:tc>
          <w:tcPr>
            <w:tcW w:w="374" w:type="pct"/>
            <w:vMerge w:val="continue"/>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2" w:type="pct"/>
            <w:vMerge w:val="continue"/>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74" w:type="pct"/>
            <w:vMerge w:val="continue"/>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2183" w:type="pct"/>
            <w:vMerge w:val="continue"/>
            <w:shd w:val="clear" w:color="auto" w:fill="auto"/>
            <w:vAlign w:val="center"/>
          </w:tcPr>
          <w:p>
            <w:pPr>
              <w:jc w:val="left"/>
              <w:rPr>
                <w:rFonts w:hint="eastAsia" w:ascii="宋体" w:hAnsi="宋体" w:eastAsia="宋体" w:cs="宋体"/>
                <w:i w:val="0"/>
                <w:iCs w:val="0"/>
                <w:color w:val="auto"/>
                <w:sz w:val="21"/>
                <w:szCs w:val="21"/>
                <w:highlight w:val="none"/>
                <w:u w:val="none"/>
              </w:rPr>
            </w:pPr>
          </w:p>
        </w:tc>
        <w:tc>
          <w:tcPr>
            <w:tcW w:w="9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r>
    </w:tbl>
    <w:p>
      <w:pPr>
        <w:widowControl w:val="0"/>
        <w:adjustRightInd/>
        <w:snapToGrid/>
        <w:spacing w:after="0" w:line="240" w:lineRule="auto"/>
        <w:jc w:val="both"/>
        <w:rPr>
          <w:rFonts w:hint="eastAsia" w:ascii="Times New Roman" w:hAnsi="Times New Roman" w:eastAsia="宋体" w:cs="Times New Roman"/>
          <w:b/>
          <w:color w:val="auto"/>
          <w:kern w:val="2"/>
          <w:sz w:val="21"/>
          <w:szCs w:val="24"/>
          <w:highlight w:val="none"/>
        </w:rPr>
      </w:pPr>
      <w:r>
        <w:rPr>
          <w:rFonts w:hint="eastAsia" w:ascii="Times New Roman" w:hAnsi="Times New Roman" w:eastAsia="宋体" w:cs="Times New Roman"/>
          <w:b/>
          <w:color w:val="auto"/>
          <w:kern w:val="2"/>
          <w:sz w:val="21"/>
          <w:szCs w:val="24"/>
          <w:highlight w:val="none"/>
        </w:rPr>
        <w:t>注：</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1、递交投标文件时需一并提交</w:t>
      </w:r>
      <w:r>
        <w:rPr>
          <w:rFonts w:hint="eastAsia" w:ascii="宋体" w:hAnsi="宋体" w:eastAsia="宋体" w:cs="宋体"/>
          <w:color w:val="auto"/>
          <w:kern w:val="2"/>
          <w:sz w:val="21"/>
          <w:szCs w:val="21"/>
          <w:highlight w:val="none"/>
          <w:lang w:val="en-US" w:eastAsia="zh-CN"/>
        </w:rPr>
        <w:t>运动服装</w:t>
      </w:r>
      <w:r>
        <w:rPr>
          <w:rFonts w:hint="eastAsia" w:ascii="宋体" w:hAnsi="宋体" w:eastAsia="宋体" w:cs="宋体"/>
          <w:color w:val="auto"/>
          <w:kern w:val="2"/>
          <w:sz w:val="21"/>
          <w:szCs w:val="21"/>
          <w:highlight w:val="none"/>
        </w:rPr>
        <w:t>每项货物样品各1件（套）</w:t>
      </w:r>
      <w:r>
        <w:rPr>
          <w:rFonts w:hint="eastAsia" w:ascii="宋体" w:hAnsi="宋体" w:eastAsia="宋体" w:cs="宋体"/>
          <w:color w:val="auto"/>
          <w:kern w:val="2"/>
          <w:sz w:val="21"/>
          <w:szCs w:val="21"/>
          <w:highlight w:val="none"/>
          <w:lang w:val="en-US" w:eastAsia="zh-CN"/>
        </w:rPr>
        <w:t>，以供评审</w:t>
      </w:r>
      <w:r>
        <w:rPr>
          <w:rFonts w:hint="eastAsia" w:ascii="宋体" w:hAnsi="宋体" w:eastAsia="宋体" w:cs="宋体"/>
          <w:color w:val="auto"/>
          <w:kern w:val="2"/>
          <w:sz w:val="21"/>
          <w:szCs w:val="21"/>
          <w:highlight w:val="none"/>
        </w:rPr>
        <w:t>。</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2、必须提供产品实物图片（或图纸），包括货物的主要指标和性能的详细说明。</w:t>
      </w:r>
    </w:p>
    <w:p>
      <w:pPr>
        <w:keepNext w:val="0"/>
        <w:keepLines w:val="0"/>
        <w:pageBreakBefore w:val="0"/>
        <w:widowControl w:val="0"/>
        <w:numPr>
          <w:ilvl w:val="0"/>
          <w:numId w:val="0"/>
        </w:numPr>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、产品性能必须等同或优于本次招标要求，否则采购方有权要求供应商更换货物直至达到技术要求为准。</w:t>
      </w:r>
    </w:p>
    <w:p>
      <w:pPr>
        <w:keepNext w:val="0"/>
        <w:keepLines w:val="0"/>
        <w:pageBreakBefore w:val="0"/>
        <w:widowControl w:val="0"/>
        <w:numPr>
          <w:ilvl w:val="0"/>
          <w:numId w:val="0"/>
        </w:numPr>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4、服装及鞋类码数及颜色由采购人根据实际需要提出要求并最后确认后方可供货，中标人需无条件配合采购人调整供货。</w:t>
      </w:r>
    </w:p>
    <w:p>
      <w:pPr>
        <w:pStyle w:val="2"/>
        <w:rPr>
          <w:rFonts w:hint="eastAsia"/>
          <w:color w:val="auto"/>
          <w:highlight w:val="none"/>
          <w:lang w:val="en-US" w:eastAsia="zh-CN"/>
        </w:rPr>
      </w:pP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二</w:t>
      </w:r>
      <w:r>
        <w:rPr>
          <w:rFonts w:hint="eastAsia" w:ascii="宋体" w:hAnsi="宋体" w:eastAsia="宋体" w:cs="Times New Roman"/>
          <w:b/>
          <w:bCs/>
          <w:color w:val="auto"/>
          <w:kern w:val="2"/>
          <w:sz w:val="24"/>
          <w:szCs w:val="24"/>
          <w:highlight w:val="none"/>
        </w:rPr>
        <w:t>、交货验收与工期</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1、交货期为合同签订后</w:t>
      </w:r>
      <w:r>
        <w:rPr>
          <w:rFonts w:hint="eastAsia" w:ascii="宋体" w:hAnsi="宋体" w:eastAsia="宋体" w:cs="宋体"/>
          <w:b/>
          <w:color w:val="auto"/>
          <w:kern w:val="2"/>
          <w:sz w:val="21"/>
          <w:szCs w:val="21"/>
          <w:highlight w:val="none"/>
        </w:rPr>
        <w:t>2</w:t>
      </w:r>
      <w:r>
        <w:rPr>
          <w:rFonts w:hint="eastAsia" w:ascii="宋体" w:hAnsi="宋体" w:eastAsia="宋体" w:cs="宋体"/>
          <w:b/>
          <w:color w:val="auto"/>
          <w:kern w:val="2"/>
          <w:sz w:val="21"/>
          <w:szCs w:val="21"/>
          <w:highlight w:val="none"/>
          <w:lang w:val="en-US" w:eastAsia="zh-CN"/>
        </w:rPr>
        <w:t>5</w:t>
      </w:r>
      <w:r>
        <w:rPr>
          <w:rFonts w:hint="eastAsia" w:ascii="宋体" w:hAnsi="宋体" w:eastAsia="宋体" w:cs="宋体"/>
          <w:color w:val="auto"/>
          <w:kern w:val="2"/>
          <w:sz w:val="21"/>
          <w:szCs w:val="21"/>
          <w:highlight w:val="none"/>
        </w:rPr>
        <w:t>天内。“</w:t>
      </w:r>
      <w:r>
        <w:rPr>
          <w:rFonts w:hint="eastAsia" w:ascii="宋体" w:hAnsi="宋体" w:eastAsia="宋体" w:cs="宋体"/>
          <w:b/>
          <w:color w:val="auto"/>
          <w:kern w:val="2"/>
          <w:sz w:val="21"/>
          <w:szCs w:val="21"/>
          <w:highlight w:val="none"/>
        </w:rPr>
        <w:t>交货期</w:t>
      </w:r>
      <w:r>
        <w:rPr>
          <w:rFonts w:hint="eastAsia" w:ascii="宋体" w:hAnsi="宋体" w:eastAsia="宋体" w:cs="宋体"/>
          <w:color w:val="auto"/>
          <w:kern w:val="2"/>
          <w:sz w:val="21"/>
          <w:szCs w:val="21"/>
          <w:highlight w:val="none"/>
        </w:rPr>
        <w:t>”指所有货物运抵现场安装调试完毕后交付用户验收的日期。</w:t>
      </w:r>
      <w:r>
        <w:rPr>
          <w:rFonts w:hint="eastAsia" w:ascii="宋体" w:hAnsi="宋体" w:eastAsia="宋体" w:cs="宋体"/>
          <w:b/>
          <w:color w:val="auto"/>
          <w:kern w:val="2"/>
          <w:sz w:val="21"/>
          <w:szCs w:val="21"/>
          <w:highlight w:val="none"/>
        </w:rPr>
        <w:t>本项目交货期可在中标合同内按需方要求约定，中标单位需无条件同意采购单位的合理要求。</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2、由于供应商的原因未能按时供货的，每迟一天罚款合同总额的0.5%；如超过供货期30天，将终止合同并通过法律程序对供应商进行索赔。</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3、为适应国内外竞赛要求，所有器材的品牌、型号、标准在交货前需经采购方最终确认。</w:t>
      </w: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rPr>
      </w:pPr>
    </w:p>
    <w:p>
      <w:pPr>
        <w:widowControl w:val="0"/>
        <w:adjustRightInd/>
        <w:snapToGrid/>
        <w:spacing w:after="0" w:line="240" w:lineRule="auto"/>
        <w:jc w:val="both"/>
        <w:rPr>
          <w:rFonts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三</w:t>
      </w:r>
      <w:r>
        <w:rPr>
          <w:rFonts w:hint="eastAsia" w:ascii="宋体" w:hAnsi="宋体" w:eastAsia="宋体" w:cs="Times New Roman"/>
          <w:b/>
          <w:bCs/>
          <w:color w:val="auto"/>
          <w:kern w:val="2"/>
          <w:sz w:val="24"/>
          <w:szCs w:val="24"/>
          <w:highlight w:val="none"/>
        </w:rPr>
        <w:t>、付款方式</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合同签订生效之日起3个工作日内，</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按合同货款预付总额的50%；在全部货品货到验收合格无质量问题后 7个工作日内在退换码完成后一次性付清余款50%的货款。</w:t>
      </w:r>
    </w:p>
    <w:p>
      <w:pPr>
        <w:widowControl w:val="0"/>
        <w:adjustRightInd/>
        <w:snapToGrid/>
        <w:spacing w:after="0" w:line="240" w:lineRule="auto"/>
        <w:jc w:val="both"/>
        <w:rPr>
          <w:rFonts w:ascii="Times New Roman" w:hAnsi="Times New Roman" w:eastAsia="宋体" w:cs="Times New Roman"/>
          <w:color w:val="auto"/>
          <w:kern w:val="2"/>
          <w:sz w:val="21"/>
          <w:szCs w:val="24"/>
          <w:highlight w:val="none"/>
        </w:rPr>
      </w:pPr>
    </w:p>
    <w:p>
      <w:pPr>
        <w:widowControl w:val="0"/>
        <w:adjustRightInd/>
        <w:snapToGrid/>
        <w:spacing w:after="0" w:line="240" w:lineRule="auto"/>
        <w:jc w:val="both"/>
        <w:rPr>
          <w:rFonts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四</w:t>
      </w:r>
      <w:r>
        <w:rPr>
          <w:rFonts w:hint="eastAsia" w:ascii="宋体" w:hAnsi="宋体" w:eastAsia="宋体" w:cs="Times New Roman"/>
          <w:b/>
          <w:bCs/>
          <w:color w:val="auto"/>
          <w:kern w:val="2"/>
          <w:sz w:val="24"/>
          <w:szCs w:val="24"/>
          <w:highlight w:val="none"/>
        </w:rPr>
        <w:t>、售后服务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1、免费送货上门、安装、调试，并试运行；</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2、根据采购方需要提供免费日常使用、保养培训；</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3、非耗材类产品免费保修至少一年（用户单位验收合格之日起计算），终身维护；</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4、在保修期限内如产品出现故障，须在接用户单位通知后</w:t>
      </w:r>
      <w:r>
        <w:rPr>
          <w:rFonts w:hint="eastAsia" w:ascii="宋体" w:hAnsi="宋体" w:eastAsia="宋体" w:cs="宋体"/>
          <w:color w:val="auto"/>
          <w:kern w:val="2"/>
          <w:sz w:val="21"/>
          <w:szCs w:val="21"/>
          <w:highlight w:val="none"/>
          <w:lang w:val="en-US" w:eastAsia="zh-CN"/>
        </w:rPr>
        <w:t>24</w:t>
      </w:r>
      <w:r>
        <w:rPr>
          <w:rFonts w:hint="eastAsia" w:ascii="宋体" w:hAnsi="宋体" w:eastAsia="宋体" w:cs="宋体"/>
          <w:color w:val="auto"/>
          <w:kern w:val="2"/>
          <w:sz w:val="21"/>
          <w:szCs w:val="21"/>
          <w:highlight w:val="none"/>
        </w:rPr>
        <w:t>小时内赶到现场进行维修，如当日不能修复的，中标商须根据采购方要求提供同等替代产品；</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5、以上为项目售后服务基本要求，投标人应在此基础上提供详细售后服务方案和有关承诺说明。</w:t>
      </w: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rPr>
      </w:pP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lang w:eastAsia="zh-CN"/>
        </w:rPr>
      </w:pPr>
      <w:r>
        <w:rPr>
          <w:rFonts w:hint="eastAsia" w:ascii="宋体" w:hAnsi="宋体" w:eastAsia="宋体" w:cs="Times New Roman"/>
          <w:b/>
          <w:bCs/>
          <w:color w:val="auto"/>
          <w:kern w:val="2"/>
          <w:sz w:val="24"/>
          <w:szCs w:val="24"/>
          <w:highlight w:val="none"/>
          <w:lang w:val="en-US" w:eastAsia="zh-CN"/>
        </w:rPr>
        <w:t>五</w:t>
      </w:r>
      <w:r>
        <w:rPr>
          <w:rFonts w:hint="eastAsia" w:ascii="宋体" w:hAnsi="宋体" w:eastAsia="宋体" w:cs="Times New Roman"/>
          <w:b/>
          <w:bCs/>
          <w:color w:val="auto"/>
          <w:kern w:val="2"/>
          <w:sz w:val="24"/>
          <w:szCs w:val="24"/>
          <w:highlight w:val="none"/>
          <w:lang w:eastAsia="zh-CN"/>
        </w:rPr>
        <w:t>、其他</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技术要求中产品技术参数为参考值，所投产品对应参数可上下浮动不超过10%。招标文件的技术规格中指出的工艺、材料和设备的标准以及参照的品牌、型号或参考图片，来源于网络查询，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投标单位应保证提供的货物在不需要增配未列出配件（特别指出的除外）的前提下货物功能、技术标准能够达到招标文件的要求，而无须再增配未列出的配件；如供应商所提供的产品需要增配配件才能达到要求的，所增配的配件须由供应商免费提供。</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3、项目清单为本次采购最低要求，各供应商可以自行优化供货计划，并应严格按照国家相关标准规定及行业标准提供合格的或更优的投标货物。</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4、投标报价及分项报价均不得超出预算价。</w:t>
      </w:r>
    </w:p>
    <w:p>
      <w:pPr>
        <w:pStyle w:val="2"/>
        <w:rPr>
          <w:color w:val="auto"/>
          <w:highlight w:val="none"/>
        </w:rPr>
      </w:pPr>
    </w:p>
    <w:p>
      <w:pPr>
        <w:spacing w:after="0" w:line="360" w:lineRule="auto"/>
        <w:ind w:firstLine="422" w:firstLineChars="200"/>
        <w:rPr>
          <w:rFonts w:ascii="宋体" w:hAnsi="宋体" w:eastAsia="宋体" w:cs="Times New Roman"/>
          <w:b/>
          <w:bCs/>
          <w:color w:val="auto"/>
          <w:sz w:val="21"/>
          <w:szCs w:val="21"/>
          <w:highlight w:val="none"/>
        </w:rPr>
      </w:pPr>
      <w:bookmarkStart w:id="6" w:name="_Toc24679"/>
      <w:bookmarkStart w:id="7" w:name="_Toc31278"/>
      <w:bookmarkStart w:id="8" w:name="_Toc14462"/>
      <w:bookmarkStart w:id="9" w:name="_Toc13112"/>
    </w:p>
    <w:p>
      <w:pPr>
        <w:spacing w:after="0" w:line="360" w:lineRule="auto"/>
        <w:ind w:firstLine="422" w:firstLineChars="200"/>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注：不满足招标文件中 “★”条款的投标文件将作无效投标处理。</w:t>
      </w:r>
      <w:bookmarkEnd w:id="6"/>
      <w:bookmarkEnd w:id="7"/>
      <w:bookmarkEnd w:id="8"/>
      <w:bookmarkEnd w:id="9"/>
    </w:p>
    <w:p>
      <w:pPr>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br w:type="page"/>
      </w:r>
    </w:p>
    <w:p>
      <w:pPr>
        <w:pStyle w:val="4"/>
        <w:spacing w:before="0" w:after="0"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用户需求明细</w:t>
      </w:r>
      <w:r>
        <w:rPr>
          <w:rFonts w:hint="eastAsia" w:ascii="宋体" w:hAnsi="宋体" w:eastAsia="宋体" w:cs="宋体"/>
          <w:color w:val="auto"/>
          <w:sz w:val="24"/>
          <w:szCs w:val="24"/>
          <w:highlight w:val="none"/>
          <w:lang w:eastAsia="zh-CN"/>
        </w:rPr>
        <w:t>（适用于包</w:t>
      </w: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w:t>
      </w:r>
    </w:p>
    <w:p>
      <w:pPr>
        <w:pStyle w:val="26"/>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ind w:leftChars="0"/>
        <w:textAlignment w:val="auto"/>
        <w:outlineLvl w:val="9"/>
        <w:rPr>
          <w:rFonts w:hint="eastAsia" w:ascii="宋体" w:hAnsi="宋体" w:eastAsia="宋体"/>
          <w:b/>
          <w:color w:val="auto"/>
          <w:sz w:val="24"/>
          <w:highlight w:val="none"/>
          <w:lang w:eastAsia="zh-CN"/>
        </w:rPr>
      </w:pPr>
      <w:r>
        <w:rPr>
          <w:rFonts w:hint="eastAsia" w:ascii="宋体" w:hAnsi="宋体" w:eastAsia="宋体"/>
          <w:b/>
          <w:color w:val="auto"/>
          <w:sz w:val="24"/>
          <w:highlight w:val="none"/>
          <w:lang w:eastAsia="zh-CN"/>
        </w:rPr>
        <w:t>一、羽毛球器材采购清单</w:t>
      </w:r>
    </w:p>
    <w:p>
      <w:pPr>
        <w:pStyle w:val="26"/>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ind w:leftChars="0"/>
        <w:textAlignment w:val="auto"/>
        <w:outlineLvl w:val="9"/>
        <w:rPr>
          <w:rFonts w:hint="default" w:ascii="宋体" w:hAnsi="宋体" w:eastAsia="宋体"/>
          <w:b/>
          <w:color w:val="auto"/>
          <w:sz w:val="22"/>
          <w:szCs w:val="21"/>
          <w:highlight w:val="none"/>
          <w:lang w:val="en-US" w:eastAsia="zh-CN"/>
        </w:rPr>
      </w:pPr>
      <w:r>
        <w:rPr>
          <w:rFonts w:hint="eastAsia" w:ascii="宋体" w:hAnsi="宋体" w:eastAsia="宋体"/>
          <w:b/>
          <w:color w:val="auto"/>
          <w:sz w:val="22"/>
          <w:szCs w:val="21"/>
          <w:highlight w:val="none"/>
          <w:lang w:val="en-US" w:eastAsia="zh-CN"/>
        </w:rPr>
        <w:t>1、器材参数表</w:t>
      </w:r>
    </w:p>
    <w:tbl>
      <w:tblPr>
        <w:tblStyle w:val="18"/>
        <w:tblW w:w="4998" w:type="pct"/>
        <w:tblInd w:w="0" w:type="dxa"/>
        <w:shd w:val="clear" w:color="auto" w:fill="auto"/>
        <w:tblLayout w:type="fixed"/>
        <w:tblCellMar>
          <w:top w:w="0" w:type="dxa"/>
          <w:left w:w="108" w:type="dxa"/>
          <w:bottom w:w="0" w:type="dxa"/>
          <w:right w:w="108" w:type="dxa"/>
        </w:tblCellMar>
      </w:tblPr>
      <w:tblGrid>
        <w:gridCol w:w="637"/>
        <w:gridCol w:w="696"/>
        <w:gridCol w:w="818"/>
        <w:gridCol w:w="1733"/>
        <w:gridCol w:w="3358"/>
        <w:gridCol w:w="638"/>
        <w:gridCol w:w="639"/>
      </w:tblGrid>
      <w:tr>
        <w:tblPrEx>
          <w:shd w:val="clear" w:color="auto" w:fill="auto"/>
          <w:tblCellMar>
            <w:top w:w="0" w:type="dxa"/>
            <w:left w:w="108" w:type="dxa"/>
            <w:bottom w:w="0" w:type="dxa"/>
            <w:right w:w="108" w:type="dxa"/>
          </w:tblCellMar>
        </w:tblPrEx>
        <w:trPr>
          <w:trHeight w:val="65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名称</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颜色</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参考图片</w:t>
            </w:r>
          </w:p>
        </w:tc>
        <w:tc>
          <w:tcPr>
            <w:tcW w:w="1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参数</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单位</w:t>
            </w:r>
          </w:p>
        </w:tc>
      </w:tr>
      <w:tr>
        <w:tblPrEx>
          <w:tblCellMar>
            <w:top w:w="0" w:type="dxa"/>
            <w:left w:w="108" w:type="dxa"/>
            <w:bottom w:w="0" w:type="dxa"/>
            <w:right w:w="108" w:type="dxa"/>
          </w:tblCellMar>
        </w:tblPrEx>
        <w:trPr>
          <w:trHeight w:val="126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olor w:val="auto"/>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羽毛球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i w:val="0"/>
                <w:iCs w:val="0"/>
                <w:color w:val="auto"/>
                <w:sz w:val="21"/>
                <w:szCs w:val="21"/>
                <w:highlight w:val="none"/>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bookmarkStart w:id="217" w:name="_GoBack"/>
            <w:bookmarkEnd w:id="217"/>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毛片材料：鹚鸪鸭毛，全圆，大方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球头材料：复合软木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特点：飞行稳定，耐打性好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适用于高等级比赛用球、俱乐部训练</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打</w:t>
            </w:r>
          </w:p>
        </w:tc>
      </w:tr>
      <w:tr>
        <w:tblPrEx>
          <w:tblCellMar>
            <w:top w:w="0" w:type="dxa"/>
            <w:left w:w="108" w:type="dxa"/>
            <w:bottom w:w="0" w:type="dxa"/>
            <w:right w:w="108" w:type="dxa"/>
          </w:tblCellMar>
        </w:tblPrEx>
        <w:trPr>
          <w:trHeight w:val="2220" w:hRule="atLeast"/>
        </w:trPr>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4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羽毛球地胶</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i w:val="0"/>
                <w:iCs w:val="0"/>
                <w:color w:val="auto"/>
                <w:sz w:val="21"/>
                <w:szCs w:val="21"/>
                <w:highlight w:val="none"/>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-13970</wp:posOffset>
                  </wp:positionH>
                  <wp:positionV relativeFrom="paragraph">
                    <wp:posOffset>795655</wp:posOffset>
                  </wp:positionV>
                  <wp:extent cx="1003300" cy="957580"/>
                  <wp:effectExtent l="0" t="0" r="6350" b="13970"/>
                  <wp:wrapSquare wrapText="bothSides"/>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14"/>
                          <a:stretch>
                            <a:fillRect/>
                          </a:stretch>
                        </pic:blipFill>
                        <pic:spPr>
                          <a:xfrm>
                            <a:off x="0" y="0"/>
                            <a:ext cx="1003300" cy="957580"/>
                          </a:xfrm>
                          <a:prstGeom prst="rect">
                            <a:avLst/>
                          </a:prstGeom>
                          <a:noFill/>
                          <a:ln>
                            <a:noFill/>
                          </a:ln>
                        </pic:spPr>
                      </pic:pic>
                    </a:graphicData>
                  </a:graphic>
                </wp:anchor>
              </w:drawing>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面层：全PVC材料，厚度为0.9mm，砂粒纹路。具有出色的耐磨性和止滑性 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中间层：采用高强、300D玻璃纤维网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稳定层：网布增加发泡层稳定性，使运动员有更佳的发挥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发泡层：聚合度800纯PVC发泡层，厚度为3mm，具有反弹性及吸震性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底层：底面为554型纹路采用涩感、防水、防霉抗菌处理，适合的回弹性和标准的吸震性，隔音效果好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规格：15m x6.8m</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片</w:t>
            </w:r>
          </w:p>
        </w:tc>
      </w:tr>
      <w:tr>
        <w:tblPrEx>
          <w:tblCellMar>
            <w:top w:w="0" w:type="dxa"/>
            <w:left w:w="108" w:type="dxa"/>
            <w:bottom w:w="0" w:type="dxa"/>
            <w:right w:w="108" w:type="dxa"/>
          </w:tblCellMar>
        </w:tblPrEx>
        <w:trPr>
          <w:trHeight w:val="1203" w:hRule="atLeast"/>
        </w:trPr>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羽毛球专业比赛鞋</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10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708025</wp:posOffset>
                      </wp:positionV>
                      <wp:extent cx="127000" cy="99695"/>
                      <wp:effectExtent l="12700" t="12700" r="12700" b="20955"/>
                      <wp:wrapNone/>
                      <wp:docPr id="27" name="圆角矩形 27"/>
                      <wp:cNvGraphicFramePr/>
                      <a:graphic xmlns:a="http://schemas.openxmlformats.org/drawingml/2006/main">
                        <a:graphicData uri="http://schemas.microsoft.com/office/word/2010/wordprocessingShape">
                          <wps:wsp>
                            <wps:cNvSpPr/>
                            <wps:spPr>
                              <a:xfrm>
                                <a:off x="3503930" y="5260340"/>
                                <a:ext cx="127000" cy="996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0pt;margin-top:55.75pt;height:7.85pt;width:10pt;z-index:251664384;v-text-anchor:middle;mso-width-relative:page;mso-height-relative:page;" fillcolor="#FFFFFF [3212]" filled="t" stroked="t" coordsize="21600,21600" arcsize="0.166666666666667" o:gfxdata="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&#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ud2a1wAAAAsBAAAPAAAAAAAAAAEAIAAAACIAAABk&#10;cnMvZG93bnJldi54bWxQSwECFAAUAAAACACHTuJAQny+y3kCAAD0BAAADgAAAAAAAAABACAAAAAm&#10;AQAAZHJzL2Uyb0RvYy54bWxQSwUGAAAAAAYABgBZAQAAEQYAAAAA&#10;">
                      <v:fill on="t" focussize="0,0"/>
                      <v:stroke weight="2pt" color="#FFFFFF [3212]" joinstyle="round"/>
                      <v:imagedata o:title=""/>
                      <o:lock v:ext="edit" aspectratio="f"/>
                    </v:roundrect>
                  </w:pict>
                </mc:Fallback>
              </mc:AlternateContent>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鞋面材料：纺织品 +TPU+ 合成革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鞋底：橡胶大底 +PHYLON 中底 +TPU</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尺码范围：6.5-11（35-45）</w:t>
            </w:r>
            <w:r>
              <w:rPr>
                <w:rFonts w:hint="eastAsia" w:ascii="宋体" w:hAnsi="宋体" w:eastAsia="宋体" w:cs="宋体"/>
                <w:i w:val="0"/>
                <w:iCs w:val="0"/>
                <w:color w:val="auto"/>
                <w:kern w:val="0"/>
                <w:sz w:val="21"/>
                <w:szCs w:val="21"/>
                <w:highlight w:val="none"/>
                <w:u w:val="none"/>
                <w:lang w:val="en-US" w:eastAsia="zh-CN" w:bidi="ar"/>
              </w:rPr>
              <w:br w:type="textWrapping"/>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38</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1451" w:hRule="atLeast"/>
        </w:trPr>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羽毛球专业比赛鞋</w:t>
            </w:r>
          </w:p>
        </w:tc>
        <w:tc>
          <w:tcPr>
            <w:tcW w:w="4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标准白 </w:t>
            </w:r>
          </w:p>
        </w:tc>
        <w:tc>
          <w:tcPr>
            <w:tcW w:w="10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5408" behindDoc="0" locked="0" layoutInCell="1" allowOverlap="1">
                      <wp:simplePos x="0" y="0"/>
                      <wp:positionH relativeFrom="column">
                        <wp:posOffset>850900</wp:posOffset>
                      </wp:positionH>
                      <wp:positionV relativeFrom="paragraph">
                        <wp:posOffset>344170</wp:posOffset>
                      </wp:positionV>
                      <wp:extent cx="127000" cy="99695"/>
                      <wp:effectExtent l="12700" t="12700" r="12700" b="20955"/>
                      <wp:wrapNone/>
                      <wp:docPr id="28" name="圆角矩形 28"/>
                      <wp:cNvGraphicFramePr/>
                      <a:graphic xmlns:a="http://schemas.openxmlformats.org/drawingml/2006/main">
                        <a:graphicData uri="http://schemas.microsoft.com/office/word/2010/wordprocessingShape">
                          <wps:wsp>
                            <wps:cNvSpPr/>
                            <wps:spPr>
                              <a:xfrm>
                                <a:off x="0" y="0"/>
                                <a:ext cx="127000" cy="996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7pt;margin-top:27.1pt;height:7.85pt;width:10pt;z-index:251665408;v-text-anchor:middle;mso-width-relative:page;mso-height-relative:page;" fillcolor="#FFFFFF [3212]" filled="t" stroked="t" coordsize="21600,21600" arcsize="0.166666666666667" o:gfxdata="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Vz+W/ZAAAACQEAAA8AAAAAAAAAAQAgAAAAIgAAAGRycy9kb3ducmV2&#10;LnhtbFBLAQIUABQAAAAIAIdO4kAWF2GqbQIAAOgEAAAOAAAAAAAAAAEAIAAAACgBAABkcnMvZTJv&#10;RG9jLnhtbFBLBQYAAAAABgAGAFkBAAAHBgAAAAA=&#10;">
                      <v:fill on="t" focussize="0,0"/>
                      <v:stroke weight="2pt" color="#FFFFFF [3212]" joinstyle="round"/>
                      <v:imagedata o:title=""/>
                      <o:lock v:ext="edit" aspectratio="f"/>
                    </v:roundrect>
                  </w:pict>
                </mc:Fallback>
              </mc:AlternateContent>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鞋面材料：纺织品 +TPU+ 合成革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鞋底：橡胶大底 +PHYLON 中底 +TPU</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尺码范围：5-8（35-39）</w:t>
            </w:r>
            <w:r>
              <w:rPr>
                <w:rFonts w:hint="eastAsia" w:ascii="宋体" w:hAnsi="宋体" w:eastAsia="宋体" w:cs="宋体"/>
                <w:i w:val="0"/>
                <w:iCs w:val="0"/>
                <w:color w:val="auto"/>
                <w:kern w:val="0"/>
                <w:sz w:val="21"/>
                <w:szCs w:val="21"/>
                <w:highlight w:val="none"/>
                <w:u w:val="none"/>
                <w:lang w:val="en-US" w:eastAsia="zh-CN" w:bidi="ar"/>
              </w:rPr>
              <w:br w:type="textWrapping"/>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33</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9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黑/红</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7456" behindDoc="0" locked="0" layoutInCell="1" allowOverlap="1">
                      <wp:simplePos x="0" y="0"/>
                      <wp:positionH relativeFrom="column">
                        <wp:posOffset>140970</wp:posOffset>
                      </wp:positionH>
                      <wp:positionV relativeFrom="paragraph">
                        <wp:posOffset>481965</wp:posOffset>
                      </wp:positionV>
                      <wp:extent cx="179070" cy="75565"/>
                      <wp:effectExtent l="12700" t="12700" r="17780" b="26035"/>
                      <wp:wrapNone/>
                      <wp:docPr id="31" name="矩形 31"/>
                      <wp:cNvGraphicFramePr/>
                      <a:graphic xmlns:a="http://schemas.openxmlformats.org/drawingml/2006/main">
                        <a:graphicData uri="http://schemas.microsoft.com/office/word/2010/wordprocessingShape">
                          <wps:wsp>
                            <wps:cNvSpPr/>
                            <wps:spPr>
                              <a:xfrm>
                                <a:off x="0" y="0"/>
                                <a:ext cx="179070" cy="75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1pt;margin-top:37.95pt;height:5.95pt;width:14.1pt;z-index:251667456;v-text-anchor:middle;mso-width-relative:page;mso-height-relative:page;" fillcolor="#FFFFFF [3212]" filled="t" stroked="t" coordsize="21600,21600" o:gfxdata="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qC&#10;K/vYAAAABwEAAA8AAAAAAAAAAQAgAAAAIgAAAGRycy9kb3ducmV2LnhtbFBLAQIUABQAAAAIAIdO&#10;4kAXVBQQXAIAAN0EAAAOAAAAAAAAAAEAIAAAACcBAABkcnMvZTJvRG9jLnhtbFBLBQYAAAAABgAG&#10;AFkBAAD1BQAAAAA=&#10;">
                      <v:fill on="t" focussize="0,0"/>
                      <v:stroke weight="2pt" color="#FFFFFF [3212]" joinstyle="round"/>
                      <v:imagedata o:title=""/>
                      <o:lock v:ext="edit" aspectratio="f"/>
                    </v:rect>
                  </w:pict>
                </mc:Fallback>
              </mc:AlternateContent>
            </w:r>
            <w:r>
              <w:rPr>
                <w:color w:val="auto"/>
                <w:sz w:val="21"/>
                <w:highlight w:val="none"/>
              </w:rPr>
              <mc:AlternateContent>
                <mc:Choice Requires="wps">
                  <w:drawing>
                    <wp:anchor distT="0" distB="0" distL="114300" distR="114300" simplePos="0" relativeHeight="251666432" behindDoc="0" locked="0" layoutInCell="1" allowOverlap="1">
                      <wp:simplePos x="0" y="0"/>
                      <wp:positionH relativeFrom="column">
                        <wp:posOffset>650875</wp:posOffset>
                      </wp:positionH>
                      <wp:positionV relativeFrom="paragraph">
                        <wp:posOffset>758190</wp:posOffset>
                      </wp:positionV>
                      <wp:extent cx="179070" cy="75565"/>
                      <wp:effectExtent l="12700" t="12700" r="17780" b="26035"/>
                      <wp:wrapNone/>
                      <wp:docPr id="29" name="矩形 29"/>
                      <wp:cNvGraphicFramePr/>
                      <a:graphic xmlns:a="http://schemas.openxmlformats.org/drawingml/2006/main">
                        <a:graphicData uri="http://schemas.microsoft.com/office/word/2010/wordprocessingShape">
                          <wps:wsp>
                            <wps:cNvSpPr/>
                            <wps:spPr>
                              <a:xfrm>
                                <a:off x="3388360" y="1683385"/>
                                <a:ext cx="179070" cy="75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25pt;margin-top:59.7pt;height:5.95pt;width:14.1pt;z-index:251666432;v-text-anchor:middle;mso-width-relative:page;mso-height-relative:page;" fillcolor="#FFFFFF [3212]" filled="t" stroked="t" coordsize="21600,21600" o:gfxdata="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lfgF7ZAAAACwEAAA8AAAAAAAAAAQAgAAAAIgAAAGRycy9kb3ducmV2Lnht&#10;bFBLAQIUABQAAAAIAIdO4kAG9KE2agIAAOkEAAAOAAAAAAAAAAEAIAAAACgBAABkcnMvZTJvRG9j&#10;LnhtbFBLBQYAAAAABgAGAFkBAAAEBgAAAAA=&#10;">
                      <v:fill on="t" focussize="0,0"/>
                      <v:stroke weight="2pt" color="#FFFFFF [3212]" joinstyle="round"/>
                      <v:imagedata o:title=""/>
                      <o:lock v:ext="edit" aspectratio="f"/>
                    </v:rect>
                  </w:pict>
                </mc:Fallback>
              </mc:AlternateContent>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尺寸：40-45码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素材/组成：橡塑材料/织物/合成革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显著提升稳定性和抓地力，促进高速步伐。</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126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浅蓝</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8480" behindDoc="0" locked="0" layoutInCell="1" allowOverlap="1">
                      <wp:simplePos x="0" y="0"/>
                      <wp:positionH relativeFrom="column">
                        <wp:posOffset>140335</wp:posOffset>
                      </wp:positionH>
                      <wp:positionV relativeFrom="paragraph">
                        <wp:posOffset>501650</wp:posOffset>
                      </wp:positionV>
                      <wp:extent cx="179070" cy="76200"/>
                      <wp:effectExtent l="12700" t="12700" r="17780" b="25400"/>
                      <wp:wrapNone/>
                      <wp:docPr id="32" name="矩形 32"/>
                      <wp:cNvGraphicFramePr/>
                      <a:graphic xmlns:a="http://schemas.openxmlformats.org/drawingml/2006/main">
                        <a:graphicData uri="http://schemas.microsoft.com/office/word/2010/wordprocessingShape">
                          <wps:wsp>
                            <wps:cNvSpPr/>
                            <wps:spPr>
                              <a:xfrm>
                                <a:off x="0" y="0"/>
                                <a:ext cx="17907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5pt;margin-top:39.5pt;height:6pt;width:14.1pt;z-index:251668480;v-text-anchor:middle;mso-width-relative:page;mso-height-relative:page;" fillcolor="#FFFFFF [3212]" filled="t" stroked="t" coordsize="21600,21600" o:gfxdata="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uD&#10;ub/YAAAABwEAAA8AAAAAAAAAAQAgAAAAIgAAAGRycy9kb3ducmV2LnhtbFBLAQIUABQAAAAIAIdO&#10;4kCnWrumXAIAAN0EAAAOAAAAAAAAAAEAIAAAACcBAABkcnMvZTJvRG9jLnhtbFBLBQYAAAAABgAG&#10;AFkBAAD1BQAAAAA=&#10;">
                      <v:fill on="t" focussize="0,0"/>
                      <v:stroke weight="2pt" color="#FFFFFF [3212]" joinstyle="round"/>
                      <v:imagedata o:title=""/>
                      <o:lock v:ext="edit" aspectratio="f"/>
                    </v:rect>
                  </w:pict>
                </mc:Fallback>
              </mc:AlternateContent>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尺寸：36-40.5码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素材/组成：橡塑材料/织物/合成革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显著提升稳定性和抓地力，促进高速步伐。</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172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莹白</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355600</wp:posOffset>
                      </wp:positionV>
                      <wp:extent cx="270510" cy="137160"/>
                      <wp:effectExtent l="12700" t="12700" r="21590" b="21590"/>
                      <wp:wrapNone/>
                      <wp:docPr id="25" name="矩形 25"/>
                      <wp:cNvGraphicFramePr/>
                      <a:graphic xmlns:a="http://schemas.openxmlformats.org/drawingml/2006/main">
                        <a:graphicData uri="http://schemas.microsoft.com/office/word/2010/wordprocessingShape">
                          <wps:wsp>
                            <wps:cNvSpPr/>
                            <wps:spPr>
                              <a:xfrm>
                                <a:off x="2705100" y="3359785"/>
                                <a:ext cx="270510" cy="1371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pt;margin-top:28pt;height:10.8pt;width:21.3pt;z-index:251663360;v-text-anchor:middle;mso-width-relative:page;mso-height-relative:page;" fillcolor="#FFFFFF [3212]" filled="t" stroked="t" coordsize="21600,21600" o:gfxdata="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kMuW9cAAAAHAQAADwAAAAAAAAABACAAAAAiAAAAZHJzL2Rvd25yZXYueG1sUEsB&#10;AhQAFAAAAAgAh07iQMgd3kdoAgAA6gQAAA4AAAAAAAAAAQAgAAAAJgEAAGRycy9lMm9Eb2MueG1s&#10;UEsFBgAAAAAGAAYAWQEAAAAGAAAAAA==&#10;">
                      <v:fill on="t" focussize="0,0"/>
                      <v:stroke weight="2pt" color="#FFFFFF [3212]" joinstyle="round"/>
                      <v:imagedata o:title=""/>
                      <o:lock v:ext="edit" aspectratio="f"/>
                    </v:rect>
                  </w:pict>
                </mc:Fallback>
              </mc:AlternateContent>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鞋面：PU合成革+TPU薄膜+双层透气网布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中底：弹性EVA+ENERGYMAX3.0能量垫+Solid EVA+尼龙稳定片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大底：VSR橡胶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尺寸：35-46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融合传统书法文化设计，鞋面轻薄舒适提升</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172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朱砂红</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鞋面：PU合成革+TPU薄膜+双层透气网布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中底：弹性EVA+ENERGYMAX3.0能量垫+Solid EVA+尼龙稳定片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大底：VSR橡胶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尺寸：35-46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融合传统书法文化设计，鞋面轻薄舒适提升</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210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38735</wp:posOffset>
                      </wp:positionV>
                      <wp:extent cx="537845" cy="235585"/>
                      <wp:effectExtent l="12700" t="12700" r="20955" b="18415"/>
                      <wp:wrapNone/>
                      <wp:docPr id="22" name="矩形 22"/>
                      <wp:cNvGraphicFramePr/>
                      <a:graphic xmlns:a="http://schemas.openxmlformats.org/drawingml/2006/main">
                        <a:graphicData uri="http://schemas.microsoft.com/office/word/2010/wordprocessingShape">
                          <wps:wsp>
                            <wps:cNvSpPr/>
                            <wps:spPr>
                              <a:xfrm>
                                <a:off x="2691130" y="5476875"/>
                                <a:ext cx="537845" cy="2355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pt;margin-top:3.05pt;height:18.55pt;width:42.35pt;z-index:251660288;v-text-anchor:middle;mso-width-relative:page;mso-height-relative:page;" fillcolor="#FFFFFF [3212]" filled="t" stroked="t" coordsize="21600,21600" o:gfxdata="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1JJcXYAAAABgEAAA8AAAAAAAAAAQAgAAAAIgAAAGRycy9kb3ducmV2&#10;LnhtbFBLAQIUABQAAAAIAIdO4kC8ZSvabgIAAOoEAAAOAAAAAAAAAAEAIAAAACcBAABkcnMvZTJv&#10;RG9jLnhtbFBLBQYAAAAABgAGAFkBAAAHBgAAAAA=&#10;">
                      <v:fill on="t" focussize="0,0"/>
                      <v:stroke weight="2pt" color="#FFFFFF [3212]" joinstyle="round"/>
                      <v:imagedata o:title=""/>
                      <o:lock v:ext="edit" aspectratio="f"/>
                    </v:rect>
                  </w:pict>
                </mc:Fallback>
              </mc:AlternateContent>
            </w: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-5080</wp:posOffset>
                  </wp:positionH>
                  <wp:positionV relativeFrom="paragraph">
                    <wp:posOffset>81915</wp:posOffset>
                  </wp:positionV>
                  <wp:extent cx="1036955" cy="1090295"/>
                  <wp:effectExtent l="0" t="0" r="10795" b="14605"/>
                  <wp:wrapSquare wrapText="bothSides"/>
                  <wp:docPr id="21" name="图片_12"/>
                  <wp:cNvGraphicFramePr/>
                  <a:graphic xmlns:a="http://schemas.openxmlformats.org/drawingml/2006/main">
                    <a:graphicData uri="http://schemas.openxmlformats.org/drawingml/2006/picture">
                      <pic:pic xmlns:pic="http://schemas.openxmlformats.org/drawingml/2006/picture">
                        <pic:nvPicPr>
                          <pic:cNvPr id="21" name="图片_12"/>
                          <pic:cNvPicPr/>
                        </pic:nvPicPr>
                        <pic:blipFill>
                          <a:blip r:embed="rId15"/>
                          <a:stretch>
                            <a:fillRect/>
                          </a:stretch>
                        </pic:blipFill>
                        <pic:spPr>
                          <a:xfrm>
                            <a:off x="0" y="0"/>
                            <a:ext cx="1036955" cy="1090295"/>
                          </a:xfrm>
                          <a:prstGeom prst="rect">
                            <a:avLst/>
                          </a:prstGeom>
                          <a:noFill/>
                          <a:ln>
                            <a:noFill/>
                          </a:ln>
                        </pic:spPr>
                      </pic:pic>
                    </a:graphicData>
                  </a:graphic>
                </wp:anchor>
              </w:drawing>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材质：高强度涤纶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直径：38mm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长度：9m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重量：7.5kg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高强度耐磨涤纶，均匀扎实，使用起来得心应手，经久耐用，使用寿命长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热缩管塑封手柄，防止松落，舒适手感，耐磨软质呵护双手</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210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144780</wp:posOffset>
                      </wp:positionV>
                      <wp:extent cx="465455" cy="179705"/>
                      <wp:effectExtent l="12700" t="12700" r="17145" b="17145"/>
                      <wp:wrapNone/>
                      <wp:docPr id="23" name="矩形 23"/>
                      <wp:cNvGraphicFramePr/>
                      <a:graphic xmlns:a="http://schemas.openxmlformats.org/drawingml/2006/main">
                        <a:graphicData uri="http://schemas.microsoft.com/office/word/2010/wordprocessingShape">
                          <wps:wsp>
                            <wps:cNvSpPr/>
                            <wps:spPr>
                              <a:xfrm>
                                <a:off x="2741295" y="6972935"/>
                                <a:ext cx="465455" cy="179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05pt;margin-top:11.4pt;height:14.15pt;width:36.65pt;z-index:251661312;v-text-anchor:middle;mso-width-relative:page;mso-height-relative:page;" fillcolor="#FFFFFF [3212]" filled="t" stroked="t" coordsize="21600,21600" o:gfxdata="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qsETvWAAAABgEAAA8AAAAAAAAAAQAgAAAAIgAAAGRycy9kb3ducmV2Lnht&#10;bFBLAQIUABQAAAAIAIdO4kBaeOjBbQIAAOoEAAAOAAAAAAAAAAEAIAAAACUBAABkcnMvZTJvRG9j&#10;LnhtbFBLBQYAAAAABgAGAFkBAAAEBgAAAAA=&#10;">
                      <v:fill on="t" focussize="0,0"/>
                      <v:stroke weight="2pt" color="#FFFFFF [3212]" joinstyle="round"/>
                      <v:imagedata o:title=""/>
                      <o:lock v:ext="edit" aspectratio="f"/>
                    </v:rect>
                  </w:pict>
                </mc:Fallback>
              </mc:AlternateContent>
            </w: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26035</wp:posOffset>
                  </wp:positionH>
                  <wp:positionV relativeFrom="paragraph">
                    <wp:posOffset>154305</wp:posOffset>
                  </wp:positionV>
                  <wp:extent cx="995045" cy="1005840"/>
                  <wp:effectExtent l="0" t="0" r="14605" b="3810"/>
                  <wp:wrapSquare wrapText="bothSides"/>
                  <wp:docPr id="19" name="图片_13"/>
                  <wp:cNvGraphicFramePr/>
                  <a:graphic xmlns:a="http://schemas.openxmlformats.org/drawingml/2006/main">
                    <a:graphicData uri="http://schemas.openxmlformats.org/drawingml/2006/picture">
                      <pic:pic xmlns:pic="http://schemas.openxmlformats.org/drawingml/2006/picture">
                        <pic:nvPicPr>
                          <pic:cNvPr id="19" name="图片_13"/>
                          <pic:cNvPicPr/>
                        </pic:nvPicPr>
                        <pic:blipFill>
                          <a:blip r:embed="rId16"/>
                          <a:stretch>
                            <a:fillRect/>
                          </a:stretch>
                        </pic:blipFill>
                        <pic:spPr>
                          <a:xfrm>
                            <a:off x="0" y="0"/>
                            <a:ext cx="995045" cy="1005840"/>
                          </a:xfrm>
                          <a:prstGeom prst="rect">
                            <a:avLst/>
                          </a:prstGeom>
                          <a:noFill/>
                          <a:ln>
                            <a:noFill/>
                          </a:ln>
                        </pic:spPr>
                      </pic:pic>
                    </a:graphicData>
                  </a:graphic>
                </wp:anchor>
              </w:drawing>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材质：高强度涤纶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直径：38mm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长度：12m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重量：9.8kg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高强度耐磨涤纶，均匀扎实，使用起来得心应手，经久耐用，使用寿命长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热缩管塑封手柄，防止松落，舒适手感，耐磨软质呵护双手</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210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黑色</w:t>
            </w: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129540</wp:posOffset>
                      </wp:positionV>
                      <wp:extent cx="465455" cy="207645"/>
                      <wp:effectExtent l="12700" t="12700" r="17145" b="27305"/>
                      <wp:wrapNone/>
                      <wp:docPr id="24" name="矩形 24"/>
                      <wp:cNvGraphicFramePr/>
                      <a:graphic xmlns:a="http://schemas.openxmlformats.org/drawingml/2006/main">
                        <a:graphicData uri="http://schemas.microsoft.com/office/word/2010/wordprocessingShape">
                          <wps:wsp>
                            <wps:cNvSpPr/>
                            <wps:spPr>
                              <a:xfrm>
                                <a:off x="2741295" y="8347710"/>
                                <a:ext cx="465455" cy="207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05pt;margin-top:10.2pt;height:16.35pt;width:36.65pt;z-index:251662336;v-text-anchor:middle;mso-width-relative:page;mso-height-relative:page;" fillcolor="#FFFFFF [3212]" filled="t" stroked="t" coordsize="21600,21600" o:gfxdata="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ah5BC1wAAAAYBAAAPAAAAAAAAAAEAIAAAACIAAABkcnMvZG93bnJldi54bWxQ&#10;SwECFAAUAAAACACHTuJAdchlsWoCAADqBAAADgAAAAAAAAABACAAAAAmAQAAZHJzL2Uyb0RvYy54&#10;bWxQSwUGAAAAAAYABgBZAQAAAgYAAAAA&#10;">
                      <v:fill on="t" focussize="0,0"/>
                      <v:stroke weight="2pt" color="#FFFFFF [3212]" joinstyle="round"/>
                      <v:imagedata o:title=""/>
                      <o:lock v:ext="edit" aspectratio="f"/>
                    </v:rect>
                  </w:pict>
                </mc:Fallback>
              </mc:AlternateContent>
            </w: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13970</wp:posOffset>
                  </wp:positionH>
                  <wp:positionV relativeFrom="paragraph">
                    <wp:posOffset>161925</wp:posOffset>
                  </wp:positionV>
                  <wp:extent cx="1016000" cy="1016635"/>
                  <wp:effectExtent l="0" t="0" r="12700" b="12065"/>
                  <wp:wrapSquare wrapText="bothSides"/>
                  <wp:docPr id="18" name="图片_14"/>
                  <wp:cNvGraphicFramePr/>
                  <a:graphic xmlns:a="http://schemas.openxmlformats.org/drawingml/2006/main">
                    <a:graphicData uri="http://schemas.openxmlformats.org/drawingml/2006/picture">
                      <pic:pic xmlns:pic="http://schemas.openxmlformats.org/drawingml/2006/picture">
                        <pic:nvPicPr>
                          <pic:cNvPr id="18" name="图片_14"/>
                          <pic:cNvPicPr/>
                        </pic:nvPicPr>
                        <pic:blipFill>
                          <a:blip r:embed="rId15"/>
                          <a:stretch>
                            <a:fillRect/>
                          </a:stretch>
                        </pic:blipFill>
                        <pic:spPr>
                          <a:xfrm>
                            <a:off x="0" y="0"/>
                            <a:ext cx="1016000" cy="1016635"/>
                          </a:xfrm>
                          <a:prstGeom prst="rect">
                            <a:avLst/>
                          </a:prstGeom>
                          <a:noFill/>
                          <a:ln>
                            <a:noFill/>
                          </a:ln>
                        </pic:spPr>
                      </pic:pic>
                    </a:graphicData>
                  </a:graphic>
                </wp:anchor>
              </w:drawing>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材质：高强度涤纶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直径：50mm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长度：9m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重量：12.6kg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高强度耐磨涤纶，均匀扎实，使用起来得心应手，经久耐用，使用寿命长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热缩管塑封手柄，防止松落，舒适手感，耐磨软质呵护双手</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130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羽毛球网</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jc w:val="center"/>
              <w:rPr>
                <w:rFonts w:hint="eastAsia" w:ascii="宋体" w:hAnsi="宋体" w:eastAsia="宋体" w:cs="宋体"/>
                <w:i w:val="0"/>
                <w:iCs w:val="0"/>
                <w:color w:val="auto"/>
                <w:sz w:val="21"/>
                <w:szCs w:val="21"/>
                <w:highlight w:val="none"/>
                <w:u w:val="none"/>
              </w:rPr>
            </w:pPr>
          </w:p>
        </w:tc>
        <w:tc>
          <w:tcPr>
            <w:tcW w:w="1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auto"/>
                <w:sz w:val="21"/>
                <w:szCs w:val="21"/>
                <w:highlight w:val="none"/>
                <w:u w:val="none"/>
              </w:rPr>
            </w:pPr>
            <w:r>
              <w:rPr>
                <w:color w:val="auto"/>
                <w:sz w:val="21"/>
                <w:highlight w:val="none"/>
              </w:rPr>
              <mc:AlternateContent>
                <mc:Choice Requires="wps">
                  <w:drawing>
                    <wp:anchor distT="0" distB="0" distL="114300" distR="114300" simplePos="0" relativeHeight="251669504" behindDoc="0" locked="0" layoutInCell="1" allowOverlap="1">
                      <wp:simplePos x="0" y="0"/>
                      <wp:positionH relativeFrom="column">
                        <wp:posOffset>235585</wp:posOffset>
                      </wp:positionH>
                      <wp:positionV relativeFrom="paragraph">
                        <wp:posOffset>865505</wp:posOffset>
                      </wp:positionV>
                      <wp:extent cx="481330" cy="90170"/>
                      <wp:effectExtent l="12700" t="12700" r="20320" b="30480"/>
                      <wp:wrapNone/>
                      <wp:docPr id="33" name="圆角矩形 33"/>
                      <wp:cNvGraphicFramePr/>
                      <a:graphic xmlns:a="http://schemas.openxmlformats.org/drawingml/2006/main">
                        <a:graphicData uri="http://schemas.microsoft.com/office/word/2010/wordprocessingShape">
                          <wps:wsp>
                            <wps:cNvSpPr/>
                            <wps:spPr>
                              <a:xfrm>
                                <a:off x="2977515" y="1786255"/>
                                <a:ext cx="481330" cy="9017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55pt;margin-top:68.15pt;height:7.1pt;width:37.9pt;z-index:251669504;v-text-anchor:middle;mso-width-relative:page;mso-height-relative:page;" fillcolor="#FFFFFF [3212]" filled="t" stroked="t" coordsize="21600,21600" arcsize="0.166666666666667" o:gfxdata="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9b3njaAAAACgEAAA8AAAAAAAAAAQAg&#10;AAAAIgAAAGRycy9kb3ducmV2LnhtbFBLAQIUABQAAAAIAIdO4kA0ADAefgIAAPQEAAAOAAAAAAAA&#10;AAEAIAAAACkBAABkcnMvZTJvRG9jLnhtbFBLBQYAAAAABgAGAFkBAAAZBgAAAAA=&#10;">
                      <v:fill on="t" focussize="0,0"/>
                      <v:stroke weight="2pt" color="#FFFFFF [3212]" joinstyle="round"/>
                      <v:imagedata o:title=""/>
                      <o:lock v:ext="edit" aspectratio="f"/>
                    </v:roundrect>
                  </w:pict>
                </mc:Fallback>
              </mc:AlternateContent>
            </w:r>
            <w:r>
              <w:rPr>
                <w:rFonts w:hint="eastAsia" w:ascii="宋体" w:hAnsi="宋体" w:eastAsia="宋体" w:cs="宋体"/>
                <w:i w:val="0"/>
                <w:iCs w:val="0"/>
                <w:color w:val="auto"/>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45085</wp:posOffset>
                  </wp:positionH>
                  <wp:positionV relativeFrom="paragraph">
                    <wp:posOffset>80645</wp:posOffset>
                  </wp:positionV>
                  <wp:extent cx="895350" cy="885825"/>
                  <wp:effectExtent l="0" t="0" r="0" b="9525"/>
                  <wp:wrapSquare wrapText="bothSides"/>
                  <wp:docPr id="15" name="图片_11"/>
                  <wp:cNvGraphicFramePr/>
                  <a:graphic xmlns:a="http://schemas.openxmlformats.org/drawingml/2006/main">
                    <a:graphicData uri="http://schemas.openxmlformats.org/drawingml/2006/picture">
                      <pic:pic xmlns:pic="http://schemas.openxmlformats.org/drawingml/2006/picture">
                        <pic:nvPicPr>
                          <pic:cNvPr id="15" name="图片_11"/>
                          <pic:cNvPicPr/>
                        </pic:nvPicPr>
                        <pic:blipFill>
                          <a:blip r:embed="rId17"/>
                          <a:stretch>
                            <a:fillRect/>
                          </a:stretch>
                        </pic:blipFill>
                        <pic:spPr>
                          <a:xfrm>
                            <a:off x="0" y="0"/>
                            <a:ext cx="895350" cy="885825"/>
                          </a:xfrm>
                          <a:prstGeom prst="rect">
                            <a:avLst/>
                          </a:prstGeom>
                          <a:noFill/>
                          <a:ln>
                            <a:noFill/>
                          </a:ln>
                        </pic:spPr>
                      </pic:pic>
                    </a:graphicData>
                  </a:graphic>
                </wp:anchor>
              </w:drawing>
            </w:r>
          </w:p>
        </w:tc>
        <w:tc>
          <w:tcPr>
            <w:tcW w:w="197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after="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材 料：NYLON  24PLY</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规 格：604cmX76cm 重 0.75kg</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副</w:t>
            </w:r>
          </w:p>
        </w:tc>
      </w:tr>
    </w:tbl>
    <w:p>
      <w:pPr>
        <w:widowControl w:val="0"/>
        <w:adjustRightInd/>
        <w:snapToGrid/>
        <w:spacing w:after="0" w:line="240" w:lineRule="auto"/>
        <w:jc w:val="both"/>
        <w:rPr>
          <w:rFonts w:hint="eastAsia" w:ascii="Times New Roman" w:hAnsi="Times New Roman" w:eastAsia="宋体" w:cs="Times New Roman"/>
          <w:b/>
          <w:color w:val="auto"/>
          <w:kern w:val="2"/>
          <w:sz w:val="21"/>
          <w:szCs w:val="24"/>
          <w:highlight w:val="none"/>
        </w:rPr>
      </w:pPr>
    </w:p>
    <w:p>
      <w:pPr>
        <w:pStyle w:val="26"/>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ind w:leftChars="0"/>
        <w:textAlignment w:val="auto"/>
        <w:outlineLvl w:val="9"/>
        <w:rPr>
          <w:rFonts w:hint="eastAsia"/>
          <w:color w:val="auto"/>
          <w:highlight w:val="none"/>
        </w:rPr>
      </w:pPr>
      <w:r>
        <w:rPr>
          <w:rFonts w:hint="eastAsia" w:ascii="宋体" w:hAnsi="宋体" w:eastAsia="宋体"/>
          <w:b/>
          <w:color w:val="auto"/>
          <w:sz w:val="22"/>
          <w:szCs w:val="21"/>
          <w:highlight w:val="none"/>
          <w:lang w:val="en-US" w:eastAsia="zh-CN"/>
        </w:rPr>
        <w:t>2、器材尺码数量表</w:t>
      </w:r>
    </w:p>
    <w:tbl>
      <w:tblPr>
        <w:tblStyle w:val="18"/>
        <w:tblW w:w="4998" w:type="pct"/>
        <w:tblInd w:w="0" w:type="dxa"/>
        <w:shd w:val="clear" w:color="auto" w:fill="auto"/>
        <w:tblLayout w:type="autofit"/>
        <w:tblCellMar>
          <w:top w:w="0" w:type="dxa"/>
          <w:left w:w="108" w:type="dxa"/>
          <w:bottom w:w="0" w:type="dxa"/>
          <w:right w:w="108" w:type="dxa"/>
        </w:tblCellMar>
      </w:tblPr>
      <w:tblGrid>
        <w:gridCol w:w="650"/>
        <w:gridCol w:w="1316"/>
        <w:gridCol w:w="435"/>
        <w:gridCol w:w="435"/>
        <w:gridCol w:w="435"/>
        <w:gridCol w:w="656"/>
        <w:gridCol w:w="435"/>
        <w:gridCol w:w="435"/>
        <w:gridCol w:w="656"/>
        <w:gridCol w:w="435"/>
        <w:gridCol w:w="435"/>
        <w:gridCol w:w="436"/>
        <w:gridCol w:w="448"/>
        <w:gridCol w:w="656"/>
        <w:gridCol w:w="656"/>
      </w:tblGrid>
      <w:tr>
        <w:tblPrEx>
          <w:shd w:val="clear" w:color="auto" w:fill="auto"/>
          <w:tblCellMar>
            <w:top w:w="0" w:type="dxa"/>
            <w:left w:w="108" w:type="dxa"/>
            <w:bottom w:w="0" w:type="dxa"/>
            <w:right w:w="108" w:type="dxa"/>
          </w:tblCellMar>
        </w:tblPrEx>
        <w:trPr>
          <w:trHeight w:val="270" w:hRule="atLeast"/>
        </w:trPr>
        <w:tc>
          <w:tcPr>
            <w:tcW w:w="382"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名称</w:t>
            </w:r>
          </w:p>
        </w:tc>
        <w:tc>
          <w:tcPr>
            <w:tcW w:w="3074"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尺码</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r>
      <w:tr>
        <w:tblPrEx>
          <w:tblCellMar>
            <w:top w:w="0" w:type="dxa"/>
            <w:left w:w="108" w:type="dxa"/>
            <w:bottom w:w="0" w:type="dxa"/>
            <w:right w:w="108" w:type="dxa"/>
          </w:tblCellMar>
        </w:tblPrEx>
        <w:trPr>
          <w:trHeight w:val="270" w:hRule="atLeast"/>
        </w:trPr>
        <w:tc>
          <w:tcPr>
            <w:tcW w:w="382"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35</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36</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37.5</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38</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39</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39.5</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40</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41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42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43</w:t>
            </w: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打</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羽毛球地胶</w:t>
            </w: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片</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羽毛球专业比赛鞋</w:t>
            </w: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羽毛球专业比赛鞋</w:t>
            </w: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体能训练绳</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r>
      <w:tr>
        <w:tblPrEx>
          <w:tblCellMar>
            <w:top w:w="0" w:type="dxa"/>
            <w:left w:w="108" w:type="dxa"/>
            <w:bottom w:w="0" w:type="dxa"/>
            <w:right w:w="108" w:type="dxa"/>
          </w:tblCellMar>
        </w:tblPrEx>
        <w:trPr>
          <w:trHeight w:val="688" w:hRule="atLeast"/>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羽毛球网</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before="73" w:beforeLines="20" w:after="73" w:afterLines="20"/>
              <w:jc w:val="center"/>
              <w:rPr>
                <w:rFonts w:hint="eastAsia" w:ascii="宋体" w:hAnsi="宋体" w:eastAsia="宋体" w:cs="宋体"/>
                <w:i w:val="0"/>
                <w:iCs w:val="0"/>
                <w:color w:val="auto"/>
                <w:sz w:val="21"/>
                <w:szCs w:val="21"/>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before="73" w:beforeLines="20" w:after="73" w:afterLines="2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副</w:t>
            </w:r>
          </w:p>
        </w:tc>
      </w:tr>
    </w:tbl>
    <w:p>
      <w:pPr>
        <w:widowControl w:val="0"/>
        <w:adjustRightInd/>
        <w:snapToGrid/>
        <w:spacing w:after="0" w:line="240" w:lineRule="auto"/>
        <w:jc w:val="both"/>
        <w:rPr>
          <w:rFonts w:hint="eastAsia" w:ascii="Times New Roman" w:hAnsi="Times New Roman" w:eastAsia="宋体" w:cs="Times New Roman"/>
          <w:b/>
          <w:color w:val="auto"/>
          <w:kern w:val="2"/>
          <w:sz w:val="21"/>
          <w:szCs w:val="24"/>
          <w:highlight w:val="none"/>
        </w:rPr>
      </w:pPr>
      <w:r>
        <w:rPr>
          <w:rFonts w:hint="eastAsia" w:ascii="Times New Roman" w:hAnsi="Times New Roman" w:eastAsia="宋体" w:cs="Times New Roman"/>
          <w:b/>
          <w:color w:val="auto"/>
          <w:kern w:val="2"/>
          <w:sz w:val="21"/>
          <w:szCs w:val="24"/>
          <w:highlight w:val="none"/>
        </w:rPr>
        <w:t>注：</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1、递交投标文件时需一并提交“采购清单”中“羽毛球器材”中序号为3、8货物样品各1件，以供评审。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2、必须提供产品实物图片（或图纸），包括货物的主要指标和性能的详细说明。</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 xml:space="preserve"> 3、产品性能必须等同或优于本次招标要求，否则采购方有权要求供应商更换货物直至达到技术要求为准。</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4、服装及鞋类码数及颜色根据上述表格进行提供，方可进行供货，若采购人需根据实际情况调整相关尺码或颜色，中标人需无条件配合采购人调整供货。</w:t>
      </w:r>
    </w:p>
    <w:p>
      <w:pPr>
        <w:numPr>
          <w:ilvl w:val="0"/>
          <w:numId w:val="0"/>
        </w:numPr>
        <w:rPr>
          <w:rFonts w:hint="eastAsia" w:ascii="宋体" w:hAnsi="宋体" w:eastAsia="宋体" w:cs="Times New Roman"/>
          <w:b/>
          <w:bCs/>
          <w:color w:val="auto"/>
          <w:kern w:val="2"/>
          <w:sz w:val="24"/>
          <w:szCs w:val="24"/>
          <w:highlight w:val="none"/>
          <w:lang w:eastAsia="zh-CN"/>
        </w:rPr>
      </w:pPr>
    </w:p>
    <w:p>
      <w:pPr>
        <w:numPr>
          <w:ilvl w:val="0"/>
          <w:numId w:val="0"/>
        </w:numPr>
        <w:rPr>
          <w:rFonts w:hint="eastAsia"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二</w:t>
      </w:r>
      <w:r>
        <w:rPr>
          <w:rFonts w:hint="eastAsia" w:ascii="宋体" w:hAnsi="宋体" w:eastAsia="宋体" w:cs="Times New Roman"/>
          <w:b/>
          <w:bCs/>
          <w:color w:val="auto"/>
          <w:kern w:val="2"/>
          <w:sz w:val="24"/>
          <w:szCs w:val="24"/>
          <w:highlight w:val="none"/>
        </w:rPr>
        <w:t>、交货验收与工期</w:t>
      </w:r>
    </w:p>
    <w:p>
      <w:pPr>
        <w:widowControl w:val="0"/>
        <w:adjustRightInd/>
        <w:snapToGrid/>
        <w:spacing w:after="0" w:line="240" w:lineRule="auto"/>
        <w:ind w:firstLine="420" w:firstLineChars="200"/>
        <w:jc w:val="both"/>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1、交货期为合同签订后</w:t>
      </w:r>
      <w:r>
        <w:rPr>
          <w:rFonts w:hint="eastAsia" w:ascii="Times New Roman" w:hAnsi="Times New Roman" w:eastAsia="宋体" w:cs="Times New Roman"/>
          <w:b/>
          <w:color w:val="auto"/>
          <w:kern w:val="2"/>
          <w:sz w:val="21"/>
          <w:szCs w:val="24"/>
          <w:highlight w:val="none"/>
        </w:rPr>
        <w:t>2</w:t>
      </w:r>
      <w:r>
        <w:rPr>
          <w:rFonts w:hint="eastAsia" w:ascii="Times New Roman" w:hAnsi="Times New Roman" w:eastAsia="宋体" w:cs="Times New Roman"/>
          <w:b/>
          <w:color w:val="auto"/>
          <w:kern w:val="2"/>
          <w:sz w:val="21"/>
          <w:szCs w:val="24"/>
          <w:highlight w:val="none"/>
          <w:lang w:val="en-US" w:eastAsia="zh-CN"/>
        </w:rPr>
        <w:t>5</w:t>
      </w:r>
      <w:r>
        <w:rPr>
          <w:rFonts w:hint="eastAsia" w:ascii="Times New Roman" w:hAnsi="Times New Roman" w:eastAsia="宋体" w:cs="Times New Roman"/>
          <w:color w:val="auto"/>
          <w:kern w:val="2"/>
          <w:sz w:val="21"/>
          <w:szCs w:val="24"/>
          <w:highlight w:val="none"/>
        </w:rPr>
        <w:t>天内。“</w:t>
      </w:r>
      <w:r>
        <w:rPr>
          <w:rFonts w:hint="eastAsia" w:ascii="Times New Roman" w:hAnsi="Times New Roman" w:eastAsia="宋体" w:cs="Times New Roman"/>
          <w:b/>
          <w:color w:val="auto"/>
          <w:kern w:val="2"/>
          <w:sz w:val="21"/>
          <w:szCs w:val="24"/>
          <w:highlight w:val="none"/>
        </w:rPr>
        <w:t>交货期</w:t>
      </w:r>
      <w:r>
        <w:rPr>
          <w:rFonts w:hint="eastAsia" w:ascii="Times New Roman" w:hAnsi="Times New Roman" w:eastAsia="宋体" w:cs="Times New Roman"/>
          <w:color w:val="auto"/>
          <w:kern w:val="2"/>
          <w:sz w:val="21"/>
          <w:szCs w:val="24"/>
          <w:highlight w:val="none"/>
        </w:rPr>
        <w:t>”指所有货物运抵现场安装调试完毕后交付用户验收的日期。</w:t>
      </w:r>
      <w:r>
        <w:rPr>
          <w:rFonts w:hint="eastAsia" w:ascii="Times New Roman" w:hAnsi="Times New Roman" w:eastAsia="宋体" w:cs="Times New Roman"/>
          <w:b/>
          <w:color w:val="auto"/>
          <w:kern w:val="2"/>
          <w:sz w:val="21"/>
          <w:szCs w:val="24"/>
          <w:highlight w:val="none"/>
        </w:rPr>
        <w:t>本项目交货期可在中标合同内按需方要求约定，中标单位需无条件同意采购单位的合理要求。</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2、由于供应商的原因未能按时供货的，每迟一天罚款合同总额的0.5%；如超过供货期30天，将终止合同并通过法律程序对供应商进行索赔。</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3、为适应国内外竞赛要求，所有器材的品牌、型号、标准在交货前需经采购方最终确认。</w:t>
      </w: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rPr>
      </w:pPr>
    </w:p>
    <w:p>
      <w:pPr>
        <w:widowControl w:val="0"/>
        <w:adjustRightInd/>
        <w:snapToGrid/>
        <w:spacing w:after="0" w:line="240" w:lineRule="auto"/>
        <w:jc w:val="both"/>
        <w:rPr>
          <w:rFonts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三</w:t>
      </w:r>
      <w:r>
        <w:rPr>
          <w:rFonts w:hint="eastAsia" w:ascii="宋体" w:hAnsi="宋体" w:eastAsia="宋体" w:cs="Times New Roman"/>
          <w:b/>
          <w:bCs/>
          <w:color w:val="auto"/>
          <w:kern w:val="2"/>
          <w:sz w:val="24"/>
          <w:szCs w:val="24"/>
          <w:highlight w:val="none"/>
        </w:rPr>
        <w:t>、付款方式</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合同签订生效之日起3个工作日内，</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按合同货款预付总额的50%；在全部货品货到验收合格无质量问题后 7个工作日内在退换码完成后一次性付清余款50%的货款。</w:t>
      </w:r>
    </w:p>
    <w:p>
      <w:pPr>
        <w:widowControl w:val="0"/>
        <w:adjustRightInd/>
        <w:snapToGrid/>
        <w:spacing w:after="0" w:line="240" w:lineRule="auto"/>
        <w:jc w:val="both"/>
        <w:rPr>
          <w:rFonts w:ascii="Times New Roman" w:hAnsi="Times New Roman" w:eastAsia="宋体" w:cs="Times New Roman"/>
          <w:color w:val="auto"/>
          <w:kern w:val="2"/>
          <w:sz w:val="21"/>
          <w:szCs w:val="24"/>
          <w:highlight w:val="none"/>
        </w:rPr>
      </w:pPr>
    </w:p>
    <w:p>
      <w:pPr>
        <w:widowControl w:val="0"/>
        <w:adjustRightInd/>
        <w:snapToGrid/>
        <w:spacing w:after="0" w:line="240" w:lineRule="auto"/>
        <w:jc w:val="both"/>
        <w:rPr>
          <w:rFonts w:ascii="宋体" w:hAnsi="宋体" w:eastAsia="宋体" w:cs="Times New Roman"/>
          <w:b/>
          <w:bCs/>
          <w:color w:val="auto"/>
          <w:kern w:val="2"/>
          <w:sz w:val="24"/>
          <w:szCs w:val="24"/>
          <w:highlight w:val="none"/>
        </w:rPr>
      </w:pPr>
      <w:r>
        <w:rPr>
          <w:rFonts w:hint="eastAsia" w:ascii="宋体" w:hAnsi="宋体" w:eastAsia="宋体" w:cs="Times New Roman"/>
          <w:b/>
          <w:bCs/>
          <w:color w:val="auto"/>
          <w:kern w:val="2"/>
          <w:sz w:val="24"/>
          <w:szCs w:val="24"/>
          <w:highlight w:val="none"/>
          <w:lang w:eastAsia="zh-CN"/>
        </w:rPr>
        <w:t>四</w:t>
      </w:r>
      <w:r>
        <w:rPr>
          <w:rFonts w:hint="eastAsia" w:ascii="宋体" w:hAnsi="宋体" w:eastAsia="宋体" w:cs="Times New Roman"/>
          <w:b/>
          <w:bCs/>
          <w:color w:val="auto"/>
          <w:kern w:val="2"/>
          <w:sz w:val="24"/>
          <w:szCs w:val="24"/>
          <w:highlight w:val="none"/>
        </w:rPr>
        <w:t>、售后服务</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1、免费送货上门、安装、调试，并试运行；</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2、根据采购方需要提供免费日常使用、保养培训；</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3、非耗材类产品免费保修至少一年（用户单位验收合格之日起计算），终身维护；</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4、在保修期限内如产品出现故障，须在接用户单位通知后24小时内赶到现场进行维修，如当日不能修复的，中标商须根据采购方要求提供同等替代产品；</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5、以上为项目售后服务基本要求，投标人应在此基础上提供详细售后服务方案和有关承诺说明。</w:t>
      </w: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rPr>
      </w:pPr>
    </w:p>
    <w:p>
      <w:pPr>
        <w:widowControl w:val="0"/>
        <w:adjustRightInd/>
        <w:snapToGrid/>
        <w:spacing w:after="0" w:line="240" w:lineRule="auto"/>
        <w:jc w:val="both"/>
        <w:rPr>
          <w:rFonts w:hint="eastAsia" w:ascii="宋体" w:hAnsi="宋体" w:eastAsia="宋体" w:cs="Times New Roman"/>
          <w:b/>
          <w:bCs/>
          <w:color w:val="auto"/>
          <w:kern w:val="2"/>
          <w:sz w:val="24"/>
          <w:szCs w:val="24"/>
          <w:highlight w:val="none"/>
          <w:lang w:eastAsia="zh-CN"/>
        </w:rPr>
      </w:pPr>
      <w:r>
        <w:rPr>
          <w:rFonts w:hint="eastAsia" w:ascii="宋体" w:hAnsi="宋体" w:eastAsia="宋体" w:cs="Times New Roman"/>
          <w:b/>
          <w:bCs/>
          <w:color w:val="auto"/>
          <w:kern w:val="2"/>
          <w:sz w:val="24"/>
          <w:szCs w:val="24"/>
          <w:highlight w:val="none"/>
          <w:lang w:val="en-US" w:eastAsia="zh-CN"/>
        </w:rPr>
        <w:t>五</w:t>
      </w:r>
      <w:r>
        <w:rPr>
          <w:rFonts w:hint="eastAsia" w:ascii="宋体" w:hAnsi="宋体" w:eastAsia="宋体" w:cs="Times New Roman"/>
          <w:b/>
          <w:bCs/>
          <w:color w:val="auto"/>
          <w:kern w:val="2"/>
          <w:sz w:val="24"/>
          <w:szCs w:val="24"/>
          <w:highlight w:val="none"/>
          <w:lang w:eastAsia="zh-CN"/>
        </w:rPr>
        <w:t>、其他</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技术要求中产品技术参数为参考值，所投产品对应参数可上下浮动不超过10%。招标文件的技术规格中指出的工艺、材料和设备的标准以及参照的品牌、型号或参考图片，来源于网络查询，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投标单位应保证提供的货物在不需要增配未列出配件（特别指出的除外）的前提下货物功能、技术标准能够达到招标文件的要求，而无须再增配未列出的配件；如供应商所提供的产品需要增配配件才能达到要求的，所增配的配件须由供应商免费提供。</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3、项目清单为本次采购最低要求，各供应商可以自行优化供货计划，并应严格按照国家相关标准规定及行业标准提供合格的或更优的投标货物。</w:t>
      </w:r>
    </w:p>
    <w:p>
      <w:pPr>
        <w:keepNext w:val="0"/>
        <w:keepLines w:val="0"/>
        <w:pageBreakBefore w:val="0"/>
        <w:widowControl w:val="0"/>
        <w:kinsoku/>
        <w:wordWrap/>
        <w:overflowPunct/>
        <w:topLinePunct w:val="0"/>
        <w:autoSpaceDE/>
        <w:autoSpaceDN/>
        <w:bidi w:val="0"/>
        <w:adjustRightInd/>
        <w:snapToGrid/>
        <w:spacing w:before="73" w:beforeLines="20" w:after="73" w:afterLines="20" w:line="240" w:lineRule="auto"/>
        <w:ind w:firstLine="420" w:firstLineChars="200"/>
        <w:jc w:val="both"/>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4、投标报价及分项报价均不得超出预算价。</w:t>
      </w:r>
    </w:p>
    <w:p>
      <w:pPr>
        <w:pStyle w:val="2"/>
        <w:rPr>
          <w:color w:val="auto"/>
          <w:highlight w:val="none"/>
        </w:rPr>
      </w:pPr>
    </w:p>
    <w:p>
      <w:pPr>
        <w:spacing w:after="0" w:line="360" w:lineRule="auto"/>
        <w:ind w:firstLine="422" w:firstLineChars="200"/>
        <w:rPr>
          <w:rFonts w:hint="eastAsia"/>
          <w:color w:val="auto"/>
          <w:sz w:val="28"/>
          <w:szCs w:val="28"/>
          <w:highlight w:val="none"/>
        </w:rPr>
      </w:pPr>
      <w:r>
        <w:rPr>
          <w:rFonts w:hint="eastAsia" w:ascii="宋体" w:hAnsi="宋体" w:eastAsia="宋体" w:cs="Times New Roman"/>
          <w:b/>
          <w:bCs/>
          <w:color w:val="auto"/>
          <w:sz w:val="21"/>
          <w:szCs w:val="21"/>
          <w:highlight w:val="none"/>
        </w:rPr>
        <w:t>注：不满足招标文件中 “★”条款的投标文件将作无效投标处理。</w:t>
      </w:r>
      <w:bookmarkStart w:id="10" w:name="_Toc18811"/>
    </w:p>
    <w:p>
      <w:pPr>
        <w:pStyle w:val="3"/>
        <w:spacing w:before="0" w:after="0" w:line="240" w:lineRule="auto"/>
        <w:rPr>
          <w:color w:val="auto"/>
          <w:sz w:val="24"/>
          <w:szCs w:val="24"/>
          <w:highlight w:val="none"/>
        </w:rPr>
      </w:pPr>
      <w:r>
        <w:rPr>
          <w:rFonts w:hint="eastAsia"/>
          <w:color w:val="auto"/>
          <w:sz w:val="28"/>
          <w:szCs w:val="28"/>
          <w:highlight w:val="none"/>
        </w:rPr>
        <w:t>第四部分 投标人须知</w:t>
      </w:r>
      <w:bookmarkEnd w:id="10"/>
    </w:p>
    <w:p>
      <w:pPr>
        <w:pStyle w:val="4"/>
        <w:numPr>
          <w:ilvl w:val="0"/>
          <w:numId w:val="3"/>
        </w:numPr>
        <w:spacing w:before="0" w:after="0" w:line="480" w:lineRule="auto"/>
        <w:jc w:val="center"/>
        <w:rPr>
          <w:rFonts w:ascii="宋体" w:hAnsi="宋体" w:eastAsia="宋体"/>
          <w:color w:val="auto"/>
          <w:highlight w:val="none"/>
        </w:rPr>
      </w:pPr>
      <w:bookmarkStart w:id="11" w:name="_Toc9559"/>
      <w:r>
        <w:rPr>
          <w:rFonts w:hint="eastAsia" w:ascii="宋体" w:hAnsi="宋体" w:eastAsia="宋体"/>
          <w:color w:val="auto"/>
          <w:highlight w:val="none"/>
        </w:rPr>
        <w:t>说明</w:t>
      </w:r>
      <w:bookmarkEnd w:id="11"/>
    </w:p>
    <w:p>
      <w:pPr>
        <w:pStyle w:val="5"/>
        <w:widowControl w:val="0"/>
        <w:overflowPunct w:val="0"/>
        <w:spacing w:before="0" w:after="0" w:line="240" w:lineRule="auto"/>
        <w:rPr>
          <w:rFonts w:ascii="宋体" w:hAnsi="宋体" w:eastAsia="宋体"/>
          <w:color w:val="auto"/>
          <w:sz w:val="21"/>
          <w:szCs w:val="21"/>
          <w:highlight w:val="none"/>
        </w:rPr>
      </w:pPr>
      <w:bookmarkStart w:id="12" w:name="_Toc18092"/>
      <w:r>
        <w:rPr>
          <w:rFonts w:hint="eastAsia" w:ascii="宋体" w:hAnsi="宋体" w:eastAsia="宋体"/>
          <w:color w:val="auto"/>
          <w:sz w:val="21"/>
          <w:szCs w:val="21"/>
          <w:highlight w:val="none"/>
        </w:rPr>
        <w:t>1.适用范围</w:t>
      </w:r>
      <w:bookmarkEnd w:id="12"/>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招标范围：见本文件《用户需求书》</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13" w:name="_Toc14885"/>
      <w:r>
        <w:rPr>
          <w:rFonts w:hint="eastAsia" w:ascii="宋体" w:hAnsi="宋体" w:eastAsia="宋体"/>
          <w:color w:val="auto"/>
          <w:sz w:val="21"/>
          <w:szCs w:val="21"/>
          <w:highlight w:val="none"/>
        </w:rPr>
        <w:t>2.</w:t>
      </w:r>
      <w:bookmarkStart w:id="14" w:name="_Toc303084246"/>
      <w:bookmarkStart w:id="15" w:name="_Toc298847174"/>
      <w:bookmarkStart w:id="16" w:name="_Toc382049092"/>
      <w:bookmarkStart w:id="17" w:name="_Toc1530"/>
      <w:r>
        <w:rPr>
          <w:rFonts w:hint="eastAsia" w:ascii="宋体" w:hAnsi="宋体" w:eastAsia="宋体"/>
          <w:color w:val="auto"/>
          <w:sz w:val="21"/>
          <w:szCs w:val="21"/>
          <w:highlight w:val="none"/>
        </w:rPr>
        <w:t>定义</w:t>
      </w:r>
      <w:bookmarkEnd w:id="13"/>
      <w:bookmarkEnd w:id="14"/>
      <w:bookmarkEnd w:id="15"/>
      <w:bookmarkEnd w:id="16"/>
      <w:bookmarkEnd w:id="17"/>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是指依法进行政府采购的国家机关、事业单位</w:t>
      </w:r>
      <w:r>
        <w:rPr>
          <w:rFonts w:hint="eastAsia" w:ascii="宋体" w:hAnsi="宋体" w:eastAsia="宋体"/>
          <w:color w:val="auto"/>
          <w:sz w:val="21"/>
          <w:szCs w:val="21"/>
          <w:highlight w:val="none"/>
        </w:rPr>
        <w:t>等</w:t>
      </w:r>
      <w:r>
        <w:rPr>
          <w:rFonts w:ascii="宋体" w:hAnsi="宋体" w:eastAsia="宋体"/>
          <w:color w:val="auto"/>
          <w:sz w:val="21"/>
          <w:szCs w:val="21"/>
          <w:highlight w:val="none"/>
        </w:rPr>
        <w:t>团体组织</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投标人：响应招标并且符合招标文件规定资格条件和参加投标竞争的法人、其他组织或者自然人。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法人：法人是依法在国内进行注册并具有民事权利能力和民事行为能力，依法独立享有民事权利和承担民事义务的组织。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中标人：指经评标委员会评审推荐、采购人确认的获得本项目中标资格的投标人。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评标委员会：评标委员会是依据</w:t>
      </w:r>
      <w:r>
        <w:rPr>
          <w:rFonts w:hint="eastAsia" w:ascii="宋体" w:hAnsi="宋体" w:eastAsia="宋体"/>
          <w:color w:val="auto"/>
          <w:sz w:val="21"/>
          <w:szCs w:val="21"/>
          <w:highlight w:val="none"/>
          <w:lang w:eastAsia="zh-CN"/>
        </w:rPr>
        <w:t>相关规定</w:t>
      </w:r>
      <w:r>
        <w:rPr>
          <w:rFonts w:hint="eastAsia" w:ascii="宋体" w:hAnsi="宋体" w:eastAsia="宋体"/>
          <w:color w:val="auto"/>
          <w:sz w:val="21"/>
          <w:szCs w:val="21"/>
          <w:highlight w:val="none"/>
        </w:rPr>
        <w:t>组建的专门负责本次招标其评标工作的临时性机构。</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合同：指由本次招标所产生的合同或合约文件。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公章：</w:t>
      </w:r>
      <w:r>
        <w:rPr>
          <w:rFonts w:ascii="宋体" w:hAnsi="宋体" w:eastAsia="宋体"/>
          <w:color w:val="auto"/>
          <w:sz w:val="21"/>
          <w:szCs w:val="21"/>
          <w:highlight w:val="none"/>
        </w:rPr>
        <w:t>公章是</w:t>
      </w:r>
      <w:r>
        <w:rPr>
          <w:rFonts w:ascii="宋体" w:hAnsi="宋体" w:eastAsia="宋体"/>
          <w:iCs/>
          <w:color w:val="auto"/>
          <w:sz w:val="21"/>
          <w:szCs w:val="21"/>
          <w:highlight w:val="none"/>
        </w:rPr>
        <w:t>指</w:t>
      </w:r>
      <w:r>
        <w:rPr>
          <w:rFonts w:hint="eastAsia" w:ascii="宋体" w:hAnsi="宋体" w:eastAsia="宋体"/>
          <w:iCs/>
          <w:color w:val="auto"/>
          <w:sz w:val="21"/>
          <w:szCs w:val="21"/>
          <w:highlight w:val="none"/>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iCs/>
          <w:color w:val="auto"/>
          <w:sz w:val="21"/>
          <w:szCs w:val="21"/>
          <w:highlight w:val="none"/>
        </w:rPr>
        <w:t>：本文件规定按日计算期间的，开始当天不计入，从次日开始计算。期限的最后一日是国家法定节假日的，顺延到节假日后的次日为期限的最后一日。</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18" w:name="_Toc14014"/>
      <w:r>
        <w:rPr>
          <w:rFonts w:hint="eastAsia" w:ascii="宋体" w:hAnsi="宋体" w:eastAsia="宋体"/>
          <w:color w:val="auto"/>
          <w:sz w:val="21"/>
          <w:szCs w:val="21"/>
          <w:highlight w:val="none"/>
        </w:rPr>
        <w:t>3.货物和服务</w:t>
      </w:r>
      <w:bookmarkEnd w:id="18"/>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货物</w:t>
      </w:r>
      <w:r>
        <w:rPr>
          <w:rFonts w:ascii="宋体" w:hAnsi="宋体" w:eastAsia="宋体"/>
          <w:color w:val="auto"/>
          <w:sz w:val="21"/>
          <w:szCs w:val="21"/>
          <w:highlight w:val="none"/>
        </w:rPr>
        <w:t>是指各种形态和种类的物品，包括原材料、燃料、设备、产品等</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服务是指</w:t>
      </w:r>
      <w:r>
        <w:rPr>
          <w:rFonts w:ascii="宋体" w:hAnsi="宋体" w:eastAsia="宋体"/>
          <w:color w:val="auto"/>
          <w:sz w:val="21"/>
          <w:szCs w:val="21"/>
          <w:highlight w:val="none"/>
        </w:rPr>
        <w:t>除货物和工程以外的其他采购对象</w:t>
      </w:r>
      <w:r>
        <w:rPr>
          <w:rFonts w:hint="eastAsia" w:ascii="宋体" w:hAnsi="宋体" w:eastAsia="宋体"/>
          <w:color w:val="auto"/>
          <w:sz w:val="21"/>
          <w:szCs w:val="21"/>
          <w:highlight w:val="none"/>
        </w:rPr>
        <w:t>。</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19" w:name="_Toc25490"/>
      <w:r>
        <w:rPr>
          <w:rFonts w:hint="eastAsia" w:ascii="宋体" w:hAnsi="宋体" w:eastAsia="宋体"/>
          <w:color w:val="auto"/>
          <w:sz w:val="21"/>
          <w:szCs w:val="21"/>
          <w:highlight w:val="none"/>
        </w:rPr>
        <w:t>4.投标费用</w:t>
      </w:r>
      <w:bookmarkEnd w:id="19"/>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0" w:name="_Toc15919"/>
      <w:r>
        <w:rPr>
          <w:rFonts w:hint="eastAsia" w:ascii="宋体" w:hAnsi="宋体" w:eastAsia="宋体"/>
          <w:color w:val="auto"/>
          <w:sz w:val="21"/>
          <w:szCs w:val="21"/>
          <w:highlight w:val="none"/>
        </w:rPr>
        <w:t>5.知识产权</w:t>
      </w:r>
      <w:bookmarkEnd w:id="20"/>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采购人享有本项目实施过程中产生的知识成果及知识产权。</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采购货物为</w:t>
      </w:r>
      <w:r>
        <w:rPr>
          <w:rFonts w:ascii="宋体" w:hAnsi="宋体" w:eastAsia="宋体"/>
          <w:color w:val="auto"/>
          <w:sz w:val="21"/>
          <w:szCs w:val="21"/>
          <w:highlight w:val="none"/>
        </w:rPr>
        <w:t>计算机办公设备时，</w:t>
      </w:r>
      <w:r>
        <w:rPr>
          <w:rFonts w:hint="eastAsia" w:ascii="宋体" w:hAnsi="宋体" w:eastAsia="宋体"/>
          <w:color w:val="auto"/>
          <w:sz w:val="21"/>
          <w:szCs w:val="21"/>
          <w:highlight w:val="none"/>
        </w:rPr>
        <w:t>投标人提供的产品必须是</w:t>
      </w:r>
      <w:r>
        <w:rPr>
          <w:rFonts w:ascii="宋体" w:hAnsi="宋体" w:eastAsia="宋体"/>
          <w:color w:val="auto"/>
          <w:sz w:val="21"/>
          <w:szCs w:val="21"/>
          <w:highlight w:val="none"/>
        </w:rPr>
        <w:t>预装正版操作系统软件的计算机产品</w:t>
      </w:r>
      <w:r>
        <w:rPr>
          <w:rFonts w:hint="eastAsia"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1" w:name="_Toc28736"/>
      <w:r>
        <w:rPr>
          <w:rFonts w:hint="eastAsia" w:ascii="宋体" w:hAnsi="宋体" w:eastAsia="宋体"/>
          <w:color w:val="auto"/>
          <w:sz w:val="21"/>
          <w:szCs w:val="21"/>
          <w:highlight w:val="none"/>
        </w:rPr>
        <w:t>6.关于联合体投标</w:t>
      </w:r>
      <w:bookmarkEnd w:id="21"/>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对接受联合体投标的项目：两个以上的自然人、法人或者其他组织可以组成一个联合体，以一个投标人的身份共同参加政府采购。</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以联合体形式参与项目的供应商在领购招标文件时，应提供所有联合体组成成员的营业执照复印件，并加盖各联合体组成成员的公章。</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联合体各方均应当符合《政府采购法》第二十二条规定的条件。</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采购人根据采购项目的特殊要求规定投标人特定条件的，联合体各方中至少应当有一方符合采购人规定的特定条件。</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联合体各方之间应当签订共同投标协议并</w:t>
      </w:r>
      <w:r>
        <w:rPr>
          <w:rFonts w:ascii="宋体" w:hAnsi="宋体" w:eastAsia="宋体"/>
          <w:color w:val="auto"/>
          <w:sz w:val="21"/>
          <w:szCs w:val="21"/>
          <w:highlight w:val="none"/>
        </w:rPr>
        <w:t>在投标文件内提交</w:t>
      </w:r>
      <w:r>
        <w:rPr>
          <w:rFonts w:hint="eastAsia" w:ascii="宋体" w:hAnsi="宋体" w:eastAsia="宋体"/>
          <w:color w:val="auto"/>
          <w:sz w:val="21"/>
          <w:szCs w:val="21"/>
          <w:highlight w:val="none"/>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供应商为联合体的，可以由联合体中的任意一方交纳保证金，其交纳的保证金对联合体各方均具有约束力。</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联合体中有同类资质的投标人按照联合体分工承担相同工作的，应当按照资质等级较低的供应商确定资质等级。</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以联合体形式参加政府采购活动，联合体各方均为中小企业的，联合体视同中小企业。其中，联合体各方均为小微企业的，联合体视同小微企业。</w:t>
      </w:r>
      <w:r>
        <w:rPr>
          <w:rFonts w:hint="eastAsia" w:ascii="宋体" w:hAnsi="宋体" w:eastAsia="宋体"/>
          <w:color w:val="auto"/>
          <w:sz w:val="21"/>
          <w:szCs w:val="21"/>
          <w:highlight w:val="none"/>
          <w:lang w:eastAsia="zh-CN"/>
        </w:rPr>
        <w:t>双方均应提供《中小企业声明函》。</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2" w:name="_Toc9408"/>
      <w:r>
        <w:rPr>
          <w:rFonts w:hint="eastAsia" w:ascii="宋体" w:hAnsi="宋体" w:eastAsia="宋体"/>
          <w:color w:val="auto"/>
          <w:sz w:val="21"/>
          <w:szCs w:val="21"/>
          <w:highlight w:val="none"/>
        </w:rPr>
        <w:t>7.关于分支机构投标</w:t>
      </w:r>
      <w:bookmarkEnd w:id="22"/>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23" w:name="EB389f116341dd4693875bc7987e7327f3"/>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对可接受</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投标的项目，</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3"/>
    </w:p>
    <w:p>
      <w:pPr>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24" w:name="_Toc13781"/>
      <w:r>
        <w:rPr>
          <w:rFonts w:hint="eastAsia" w:ascii="宋体" w:hAnsi="宋体" w:eastAsia="宋体"/>
          <w:color w:val="auto"/>
          <w:highlight w:val="none"/>
        </w:rPr>
        <w:t>招标文件</w:t>
      </w:r>
      <w:bookmarkEnd w:id="24"/>
    </w:p>
    <w:p>
      <w:pPr>
        <w:pStyle w:val="5"/>
        <w:widowControl w:val="0"/>
        <w:overflowPunct w:val="0"/>
        <w:spacing w:before="0" w:after="0" w:line="240" w:lineRule="auto"/>
        <w:rPr>
          <w:rFonts w:ascii="宋体" w:hAnsi="宋体" w:eastAsia="宋体"/>
          <w:color w:val="auto"/>
          <w:sz w:val="21"/>
          <w:szCs w:val="21"/>
          <w:highlight w:val="none"/>
        </w:rPr>
      </w:pPr>
      <w:bookmarkStart w:id="25" w:name="_Toc2761"/>
      <w:r>
        <w:rPr>
          <w:rFonts w:hint="eastAsia" w:ascii="宋体" w:hAnsi="宋体" w:eastAsia="宋体"/>
          <w:color w:val="auto"/>
          <w:sz w:val="21"/>
          <w:szCs w:val="21"/>
          <w:highlight w:val="none"/>
        </w:rPr>
        <w:t>8.招标文件的组成</w:t>
      </w:r>
      <w:bookmarkEnd w:id="25"/>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招标文件包括：</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）投标邀请书；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）投标资料表；</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）用户需求书；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）投标人须知；</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）拟签订的合同文本；</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6</w:t>
      </w:r>
      <w:r>
        <w:rPr>
          <w:rFonts w:hint="eastAsia" w:ascii="宋体" w:hAnsi="宋体" w:eastAsia="宋体"/>
          <w:color w:val="auto"/>
          <w:sz w:val="21"/>
          <w:szCs w:val="21"/>
          <w:highlight w:val="none"/>
        </w:rPr>
        <w:t>）投标文件格式；</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7</w:t>
      </w:r>
      <w:r>
        <w:rPr>
          <w:rFonts w:hint="eastAsia" w:ascii="宋体" w:hAnsi="宋体" w:eastAsia="宋体"/>
          <w:color w:val="auto"/>
          <w:sz w:val="21"/>
          <w:szCs w:val="21"/>
          <w:highlight w:val="none"/>
        </w:rPr>
        <w:t>）在招标过程中由采购代理机构发出的澄清更正文件等。</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6" w:name="_Toc30594"/>
      <w:r>
        <w:rPr>
          <w:rFonts w:hint="eastAsia" w:ascii="宋体" w:hAnsi="宋体" w:eastAsia="宋体"/>
          <w:color w:val="auto"/>
          <w:sz w:val="21"/>
          <w:szCs w:val="21"/>
          <w:highlight w:val="none"/>
        </w:rPr>
        <w:t>9.招标文件的澄清或修改</w:t>
      </w:r>
      <w:bookmarkEnd w:id="26"/>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highlight w:val="none"/>
        </w:rPr>
        <w:t>具有约束作用</w:t>
      </w:r>
      <w:r>
        <w:rPr>
          <w:rFonts w:hint="eastAsia" w:ascii="宋体" w:hAnsi="宋体" w:eastAsia="宋体"/>
          <w:color w:val="auto"/>
          <w:sz w:val="21"/>
          <w:szCs w:val="21"/>
          <w:highlight w:val="none"/>
        </w:rPr>
        <w:t>。</w:t>
      </w:r>
      <w:r>
        <w:rPr>
          <w:rFonts w:ascii="宋体" w:hAnsi="宋体" w:eastAsia="宋体"/>
          <w:color w:val="auto"/>
          <w:sz w:val="21"/>
          <w:szCs w:val="21"/>
          <w:highlight w:val="none"/>
        </w:rPr>
        <w:t>当招标文件、招标文件的澄清</w:t>
      </w:r>
      <w:r>
        <w:rPr>
          <w:rFonts w:hint="eastAsia" w:ascii="宋体" w:hAnsi="宋体" w:eastAsia="宋体"/>
          <w:color w:val="auto"/>
          <w:sz w:val="21"/>
          <w:szCs w:val="21"/>
          <w:highlight w:val="none"/>
        </w:rPr>
        <w:t>或</w:t>
      </w:r>
      <w:r>
        <w:rPr>
          <w:rFonts w:ascii="宋体" w:hAnsi="宋体" w:eastAsia="宋体"/>
          <w:color w:val="auto"/>
          <w:sz w:val="21"/>
          <w:szCs w:val="21"/>
          <w:highlight w:val="none"/>
        </w:rPr>
        <w:t>修改等在同一内容的表述上不一致时，以最后发出的书面文件</w:t>
      </w:r>
      <w:r>
        <w:rPr>
          <w:rFonts w:hint="eastAsia" w:ascii="宋体" w:hAnsi="宋体" w:eastAsia="宋体"/>
          <w:color w:val="auto"/>
          <w:sz w:val="21"/>
          <w:szCs w:val="21"/>
          <w:highlight w:val="none"/>
        </w:rPr>
        <w:t>及公告</w:t>
      </w:r>
      <w:r>
        <w:rPr>
          <w:rFonts w:ascii="宋体" w:hAnsi="宋体" w:eastAsia="宋体"/>
          <w:color w:val="auto"/>
          <w:sz w:val="21"/>
          <w:szCs w:val="21"/>
          <w:highlight w:val="none"/>
        </w:rPr>
        <w:t>为准。</w:t>
      </w:r>
    </w:p>
    <w:p>
      <w:pPr>
        <w:widowControl w:val="0"/>
        <w:numPr>
          <w:ilvl w:val="1"/>
          <w:numId w:val="4"/>
        </w:numPr>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4"/>
        <w:numPr>
          <w:ilvl w:val="0"/>
          <w:numId w:val="3"/>
        </w:numPr>
        <w:spacing w:before="0" w:after="0" w:line="480" w:lineRule="auto"/>
        <w:jc w:val="center"/>
        <w:rPr>
          <w:rFonts w:ascii="宋体" w:hAnsi="宋体" w:eastAsia="宋体"/>
          <w:color w:val="auto"/>
          <w:highlight w:val="none"/>
        </w:rPr>
      </w:pPr>
      <w:bookmarkStart w:id="27" w:name="_Toc8709"/>
      <w:r>
        <w:rPr>
          <w:rFonts w:hint="eastAsia" w:ascii="宋体" w:hAnsi="宋体" w:eastAsia="宋体"/>
          <w:color w:val="auto"/>
          <w:highlight w:val="none"/>
        </w:rPr>
        <w:t>投标文件的编制</w:t>
      </w:r>
      <w:bookmarkEnd w:id="27"/>
    </w:p>
    <w:p>
      <w:pPr>
        <w:pStyle w:val="5"/>
        <w:widowControl w:val="0"/>
        <w:overflowPunct w:val="0"/>
        <w:spacing w:before="0" w:after="0" w:line="240" w:lineRule="auto"/>
        <w:rPr>
          <w:rFonts w:ascii="宋体" w:hAnsi="宋体" w:eastAsia="宋体"/>
          <w:color w:val="auto"/>
          <w:sz w:val="21"/>
          <w:szCs w:val="21"/>
          <w:highlight w:val="none"/>
        </w:rPr>
      </w:pPr>
      <w:bookmarkStart w:id="28" w:name="_Toc30245"/>
      <w:r>
        <w:rPr>
          <w:rFonts w:hint="eastAsia" w:ascii="宋体" w:hAnsi="宋体" w:eastAsia="宋体"/>
          <w:color w:val="auto"/>
          <w:sz w:val="21"/>
          <w:szCs w:val="21"/>
          <w:highlight w:val="none"/>
        </w:rPr>
        <w:t>10.投标文件的语言及度量衡单位</w:t>
      </w:r>
      <w:bookmarkEnd w:id="28"/>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除非招标文件在技术规格中另有规定，投标人在投标文件中及其与采购代理机构和采购人所有往来文件中的所有</w:t>
      </w:r>
      <w:r>
        <w:rPr>
          <w:rFonts w:ascii="宋体" w:hAnsi="宋体" w:eastAsia="宋体"/>
          <w:color w:val="auto"/>
          <w:sz w:val="21"/>
          <w:szCs w:val="21"/>
          <w:highlight w:val="none"/>
        </w:rPr>
        <w:t>计量单位</w:t>
      </w:r>
      <w:r>
        <w:rPr>
          <w:rFonts w:hint="eastAsia" w:ascii="宋体" w:hAnsi="宋体" w:eastAsia="宋体"/>
          <w:color w:val="auto"/>
          <w:sz w:val="21"/>
          <w:szCs w:val="21"/>
          <w:highlight w:val="none"/>
        </w:rPr>
        <w:t>均应采用中华人民共和国法定计量单位</w:t>
      </w:r>
      <w:r>
        <w:rPr>
          <w:rFonts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9" w:name="_Toc307934854"/>
      <w:bookmarkStart w:id="30" w:name="_Toc303084256"/>
      <w:bookmarkStart w:id="31" w:name="_Toc19904"/>
      <w:bookmarkStart w:id="32" w:name="_Toc28866"/>
      <w:bookmarkStart w:id="33" w:name="_Toc382049103"/>
      <w:r>
        <w:rPr>
          <w:rFonts w:hint="eastAsia" w:ascii="宋体" w:hAnsi="宋体" w:eastAsia="宋体"/>
          <w:color w:val="auto"/>
          <w:sz w:val="21"/>
          <w:szCs w:val="21"/>
          <w:highlight w:val="none"/>
        </w:rPr>
        <w:t>11.</w:t>
      </w:r>
      <w:r>
        <w:rPr>
          <w:rFonts w:ascii="宋体" w:hAnsi="宋体" w:eastAsia="宋体"/>
          <w:color w:val="auto"/>
          <w:sz w:val="21"/>
          <w:szCs w:val="21"/>
          <w:highlight w:val="none"/>
        </w:rPr>
        <w:t>投标文件的组成</w:t>
      </w:r>
      <w:bookmarkEnd w:id="29"/>
      <w:bookmarkEnd w:id="30"/>
      <w:bookmarkEnd w:id="31"/>
      <w:bookmarkEnd w:id="32"/>
      <w:bookmarkEnd w:id="33"/>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包括但不限于招标文件附件格式中要求提供的表格。</w:t>
      </w:r>
    </w:p>
    <w:p>
      <w:pPr>
        <w:widowControl w:val="0"/>
        <w:numPr>
          <w:ilvl w:val="1"/>
          <w:numId w:val="4"/>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上述文件须按顺序装订成册，并编制投标文件目录。除上述文件资料外投标人还须按投标人须知的要求制作“开标文件”。“开标文件”作为投标文件的一部分，但须单独密封。</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4" w:name="_Toc7724"/>
      <w:r>
        <w:rPr>
          <w:rFonts w:hint="eastAsia" w:ascii="宋体" w:hAnsi="宋体" w:eastAsia="宋体"/>
          <w:color w:val="auto"/>
          <w:sz w:val="21"/>
          <w:szCs w:val="21"/>
          <w:highlight w:val="none"/>
        </w:rPr>
        <w:t>12.投标文件编制</w:t>
      </w:r>
      <w:bookmarkEnd w:id="34"/>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35" w:name="_Toc303084258"/>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投标人应按招标文件的规定以及附件要求的内容和格式完整地填写</w:t>
      </w:r>
      <w:r>
        <w:rPr>
          <w:rFonts w:ascii="宋体" w:hAnsi="宋体" w:eastAsia="宋体"/>
          <w:color w:val="auto"/>
          <w:sz w:val="21"/>
          <w:szCs w:val="21"/>
          <w:highlight w:val="none"/>
        </w:rPr>
        <w:t>（表格可以按同样格式扩展）</w:t>
      </w:r>
      <w:r>
        <w:rPr>
          <w:rFonts w:hint="eastAsia" w:ascii="宋体" w:hAnsi="宋体" w:eastAsia="宋体"/>
          <w:color w:val="auto"/>
          <w:sz w:val="21"/>
          <w:szCs w:val="21"/>
          <w:highlight w:val="none"/>
        </w:rPr>
        <w:t>和提供资料，投标人必须对投标文件所提供的全部材料的真实性承担法律责任，并无条件接受采购人或采购代理机构对其中任何资料进行核实的要求。</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因投标文件编制存在歧义对投标人产生负面影响的，投标人自行承担后果。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投标单位名称与投标人公章不一致，若投标单位名称已进行变更，应在投标文件中提供相应的证明材料并加盖公章，否则投标文件无效。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投标文件密封、标记及内容与本项目采购信息不符，导致无法分辨所投项目为本项目的，投标文件无效。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投标人须客观撰写投标人简介（格式自理，并提供相关证明）以及所投的产品或服务说明。</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投标文件若出现以下内容，经评标委员会认定有可能间接影响评审秩序，作废标处理。</w:t>
      </w:r>
    </w:p>
    <w:p>
      <w:pPr>
        <w:pStyle w:val="26"/>
        <w:widowControl w:val="0"/>
        <w:numPr>
          <w:ilvl w:val="0"/>
          <w:numId w:val="5"/>
        </w:numPr>
        <w:adjustRightInd/>
        <w:snapToGrid/>
        <w:spacing w:after="0" w:line="360" w:lineRule="exact"/>
        <w:ind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投标文件内出现无官方证明文件的行业地域排名或</w:t>
      </w:r>
      <w:r>
        <w:rPr>
          <w:rFonts w:ascii="宋体" w:hAnsi="宋体" w:eastAsia="宋体"/>
          <w:color w:val="auto"/>
          <w:sz w:val="21"/>
          <w:szCs w:val="21"/>
          <w:highlight w:val="none"/>
        </w:rPr>
        <w:t>使用“国家级”、“最高级”、“最佳”等用语</w:t>
      </w:r>
      <w:r>
        <w:rPr>
          <w:rFonts w:hint="eastAsia" w:ascii="宋体" w:hAnsi="宋体" w:eastAsia="宋体"/>
          <w:color w:val="auto"/>
          <w:sz w:val="21"/>
          <w:szCs w:val="21"/>
          <w:highlight w:val="none"/>
        </w:rPr>
        <w:t>字眼的。</w:t>
      </w:r>
    </w:p>
    <w:p>
      <w:pPr>
        <w:pStyle w:val="26"/>
        <w:widowControl w:val="0"/>
        <w:numPr>
          <w:ilvl w:val="0"/>
          <w:numId w:val="5"/>
        </w:numPr>
        <w:adjustRightInd/>
        <w:snapToGrid/>
        <w:spacing w:after="0" w:line="360" w:lineRule="exact"/>
        <w:ind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投标文件内出现恶意诋毁、</w:t>
      </w:r>
      <w:r>
        <w:rPr>
          <w:rFonts w:ascii="宋体" w:hAnsi="宋体" w:eastAsia="宋体"/>
          <w:color w:val="auto"/>
          <w:sz w:val="21"/>
          <w:szCs w:val="21"/>
          <w:highlight w:val="none"/>
        </w:rPr>
        <w:t>贬低其他生产经营者的商品或者服务</w:t>
      </w:r>
      <w:r>
        <w:rPr>
          <w:rFonts w:hint="eastAsia" w:ascii="宋体" w:hAnsi="宋体" w:eastAsia="宋体"/>
          <w:color w:val="auto"/>
          <w:sz w:val="21"/>
          <w:szCs w:val="21"/>
          <w:highlight w:val="none"/>
        </w:rPr>
        <w:t>的内容。</w:t>
      </w:r>
    </w:p>
    <w:bookmarkEnd w:id="35"/>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6" w:name="_Toc28060"/>
      <w:r>
        <w:rPr>
          <w:rFonts w:hint="eastAsia" w:ascii="宋体" w:hAnsi="宋体" w:eastAsia="宋体"/>
          <w:color w:val="auto"/>
          <w:sz w:val="21"/>
          <w:szCs w:val="21"/>
          <w:highlight w:val="none"/>
        </w:rPr>
        <w:t>13.投标报价说明</w:t>
      </w:r>
      <w:bookmarkEnd w:id="36"/>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本次招标，投标人应按用户需求中的要求进行投标报价，少报无效。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投标人所提供的货物或服务均以人民币</w:t>
      </w:r>
      <w:r>
        <w:rPr>
          <w:rFonts w:hint="eastAsia" w:ascii="宋体" w:hAnsi="宋体" w:eastAsia="宋体"/>
          <w:color w:val="auto"/>
          <w:sz w:val="21"/>
          <w:szCs w:val="21"/>
          <w:highlight w:val="none"/>
          <w:lang w:eastAsia="zh-CN"/>
        </w:rPr>
        <w:t>（或相关费率）</w:t>
      </w:r>
      <w:r>
        <w:rPr>
          <w:rFonts w:hint="eastAsia" w:ascii="宋体" w:hAnsi="宋体" w:eastAsia="宋体"/>
          <w:color w:val="auto"/>
          <w:sz w:val="21"/>
          <w:szCs w:val="21"/>
          <w:highlight w:val="none"/>
        </w:rPr>
        <w:t>报价。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投标报价应包含完成本次招标所有服务内容的费用，包含各种税务费及合同实施过程中的全部费用和售后服务费等。</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中标后开出的所有发票必须与中标人的名称一致。</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7" w:name="_Toc10722"/>
      <w:r>
        <w:rPr>
          <w:rFonts w:hint="eastAsia" w:ascii="宋体" w:hAnsi="宋体" w:eastAsia="宋体"/>
          <w:color w:val="auto"/>
          <w:sz w:val="21"/>
          <w:szCs w:val="21"/>
          <w:highlight w:val="none"/>
        </w:rPr>
        <w:t>14.投标人所提供的服务或货物的证明文件</w:t>
      </w:r>
      <w:bookmarkEnd w:id="37"/>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bookmarkStart w:id="38" w:name="_Hlt107925638"/>
      <w:bookmarkEnd w:id="38"/>
      <w:bookmarkStart w:id="39" w:name="_Hlt107925668"/>
      <w:bookmarkEnd w:id="39"/>
      <w:r>
        <w:rPr>
          <w:rFonts w:hint="eastAsia" w:ascii="宋体" w:hAnsi="宋体" w:eastAsia="宋体"/>
          <w:color w:val="auto"/>
          <w:sz w:val="21"/>
          <w:szCs w:val="21"/>
          <w:highlight w:val="none"/>
        </w:rPr>
        <w:t>证明服务或货物的文件，它可以是文字资料、图纸和数据包括但不限于：服务主要内容、标准、质量、人员资质、计划安排、报告审核等的详细说明；对招标文件第</w:t>
      </w:r>
      <w:r>
        <w:rPr>
          <w:rFonts w:hint="eastAsia" w:ascii="宋体" w:hAnsi="宋体" w:eastAsia="宋体"/>
          <w:color w:val="auto"/>
          <w:sz w:val="21"/>
          <w:szCs w:val="21"/>
          <w:highlight w:val="none"/>
          <w:lang w:eastAsia="zh-CN"/>
        </w:rPr>
        <w:t>三</w:t>
      </w:r>
      <w:r>
        <w:rPr>
          <w:rFonts w:hint="eastAsia" w:ascii="宋体" w:hAnsi="宋体" w:eastAsia="宋体"/>
          <w:color w:val="auto"/>
          <w:sz w:val="21"/>
          <w:szCs w:val="21"/>
          <w:highlight w:val="none"/>
        </w:rPr>
        <w:t>部分《用户需求书》中规定的要求进行详细应答和说明。</w:t>
      </w:r>
    </w:p>
    <w:p>
      <w:pPr>
        <w:pStyle w:val="26"/>
        <w:widowControl w:val="0"/>
        <w:adjustRightInd/>
        <w:snapToGrid/>
        <w:spacing w:after="0" w:line="360" w:lineRule="exact"/>
        <w:ind w:left="425" w:firstLine="0" w:firstLineChars="0"/>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0" w:name="_Toc28478"/>
      <w:r>
        <w:rPr>
          <w:rFonts w:hint="eastAsia" w:ascii="宋体" w:hAnsi="宋体" w:eastAsia="宋体"/>
          <w:color w:val="auto"/>
          <w:sz w:val="21"/>
          <w:szCs w:val="21"/>
          <w:highlight w:val="none"/>
        </w:rPr>
        <w:t>15.★投标有效期</w:t>
      </w:r>
      <w:bookmarkEnd w:id="40"/>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投标文件应根据投标人须知的规定在投标截止日后的90天内保持有效。</w:t>
      </w:r>
    </w:p>
    <w:p>
      <w:pPr>
        <w:widowControl w:val="0"/>
        <w:adjustRightInd/>
        <w:snapToGrid/>
        <w:spacing w:after="0" w:line="360" w:lineRule="exact"/>
        <w:ind w:left="567"/>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1" w:name="_Toc718"/>
      <w:r>
        <w:rPr>
          <w:rFonts w:hint="eastAsia" w:ascii="宋体" w:hAnsi="宋体" w:eastAsia="宋体"/>
          <w:color w:val="auto"/>
          <w:sz w:val="21"/>
          <w:szCs w:val="21"/>
          <w:highlight w:val="none"/>
        </w:rPr>
        <w:t>16.★投标保证金</w:t>
      </w:r>
      <w:bookmarkEnd w:id="41"/>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42" w:name="_Ref179619405"/>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投标人应按投标资料表中规定数额及法律规定的时间按相应包号保证金金额要求一次性提交投标保证金，以多次汇入达到招标文件要求金额的投标保证金无效。</w:t>
      </w:r>
      <w:bookmarkEnd w:id="42"/>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投标保证金金额与招标文件要求金额保持一致（详见投标资料表）。</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投标保证金有效期与投标有效期保持一致。</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投标人应按要求提交投标保证金，投标人必须采用银行转账、电汇或担保函形式一次性缴交招标文件规定数额的投标保证金，投标人与交款人名称必须一致，非投标人缴纳的投标保证金无效。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采用银行转账、电汇方式提交的,付至采购代理机构指定账户上。 (详见投标人资料表)</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采用担保函提交的，应符合下列规定：</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①投标担保函有效期应与投标有效期一致；</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②投标担保金额应与本项目的投标保证金一致；</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保证金不接受现金方式（包括以存现方式）提交，未按要求提交投标保证金的将导致废标。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未中标的投标人的保证金应当在中标通知书发出后5个工作日内退还，中标投标人的保证金应当在采购合同签订后5个工作日内退还。</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为方便退还未中标的投保人的保证金，投标人应制作《投标保证金汇入情况说明》随开标文件一并递交。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有下列情形之一的，投标保证金将不予退还：</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（2）投标人在响应文件中提供虚假材料的；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（5）</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规定的其他情形。</w:t>
      </w:r>
      <w:r>
        <w:rPr>
          <w:rFonts w:ascii="宋体" w:hAnsi="宋体" w:eastAsia="宋体"/>
          <w:color w:val="auto"/>
          <w:sz w:val="21"/>
          <w:szCs w:val="21"/>
          <w:highlight w:val="none"/>
        </w:rPr>
        <w:t xml:space="preserve"> </w:t>
      </w:r>
    </w:p>
    <w:p>
      <w:pPr>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43" w:name="_Toc26276"/>
      <w:r>
        <w:rPr>
          <w:rFonts w:hint="eastAsia" w:ascii="宋体" w:hAnsi="宋体" w:eastAsia="宋体"/>
          <w:color w:val="auto"/>
          <w:highlight w:val="none"/>
        </w:rPr>
        <w:t>投标文件的递交</w:t>
      </w:r>
      <w:bookmarkEnd w:id="43"/>
    </w:p>
    <w:p>
      <w:pPr>
        <w:pStyle w:val="5"/>
        <w:widowControl w:val="0"/>
        <w:overflowPunct w:val="0"/>
        <w:spacing w:before="0" w:after="0" w:line="240" w:lineRule="auto"/>
        <w:rPr>
          <w:rFonts w:ascii="宋体" w:hAnsi="宋体" w:eastAsia="宋体"/>
          <w:color w:val="auto"/>
          <w:sz w:val="21"/>
          <w:szCs w:val="21"/>
          <w:highlight w:val="none"/>
        </w:rPr>
      </w:pPr>
      <w:bookmarkStart w:id="44" w:name="_Toc303084264"/>
      <w:bookmarkStart w:id="45" w:name="_Toc382049111"/>
      <w:bookmarkStart w:id="46" w:name="_Toc17218"/>
      <w:bookmarkStart w:id="47" w:name="_Toc24997"/>
      <w:r>
        <w:rPr>
          <w:rFonts w:hint="eastAsia" w:ascii="宋体" w:hAnsi="宋体" w:eastAsia="宋体"/>
          <w:color w:val="auto"/>
          <w:sz w:val="21"/>
          <w:szCs w:val="21"/>
          <w:highlight w:val="none"/>
        </w:rPr>
        <w:t>17.</w:t>
      </w:r>
      <w:r>
        <w:rPr>
          <w:rFonts w:ascii="宋体" w:hAnsi="宋体" w:eastAsia="宋体"/>
          <w:color w:val="auto"/>
          <w:sz w:val="21"/>
          <w:szCs w:val="21"/>
          <w:highlight w:val="none"/>
        </w:rPr>
        <w:t>投标文件的</w:t>
      </w:r>
      <w:r>
        <w:rPr>
          <w:rFonts w:hint="eastAsia" w:ascii="宋体" w:hAnsi="宋体" w:eastAsia="宋体"/>
          <w:color w:val="auto"/>
          <w:sz w:val="21"/>
          <w:szCs w:val="21"/>
          <w:highlight w:val="none"/>
        </w:rPr>
        <w:t>装订，签署，</w:t>
      </w:r>
      <w:r>
        <w:rPr>
          <w:rFonts w:ascii="宋体" w:hAnsi="宋体" w:eastAsia="宋体"/>
          <w:color w:val="auto"/>
          <w:sz w:val="21"/>
          <w:szCs w:val="21"/>
          <w:highlight w:val="none"/>
        </w:rPr>
        <w:t>密封和标记</w:t>
      </w:r>
      <w:bookmarkEnd w:id="44"/>
      <w:bookmarkEnd w:id="45"/>
      <w:bookmarkEnd w:id="46"/>
      <w:bookmarkEnd w:id="47"/>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投标人应当对投标文件进行装订，对未经装订的投标文件可能发生的文件缺</w:t>
      </w:r>
      <w:r>
        <w:rPr>
          <w:rFonts w:hint="eastAsia" w:ascii="宋体" w:hAnsi="宋体" w:eastAsia="宋体"/>
          <w:color w:val="auto"/>
          <w:sz w:val="21"/>
          <w:szCs w:val="21"/>
          <w:highlight w:val="none"/>
          <w:lang w:eastAsia="zh-CN"/>
        </w:rPr>
        <w:t>损</w:t>
      </w:r>
      <w:r>
        <w:rPr>
          <w:rFonts w:ascii="宋体" w:hAnsi="宋体" w:eastAsia="宋体"/>
          <w:color w:val="auto"/>
          <w:sz w:val="21"/>
          <w:szCs w:val="21"/>
          <w:highlight w:val="none"/>
        </w:rPr>
        <w:t>，由此产生的后果由投标人承担</w:t>
      </w:r>
      <w:r>
        <w:rPr>
          <w:rFonts w:hint="eastAsia" w:ascii="宋体" w:hAnsi="宋体" w:eastAsia="宋体"/>
          <w:color w:val="auto"/>
          <w:sz w:val="21"/>
          <w:szCs w:val="21"/>
          <w:highlight w:val="none"/>
          <w:lang w:eastAsia="zh-CN"/>
        </w:rPr>
        <w:t>；投标文件未装订成册，投标文件无效</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正本均须用不褪色墨水书写或打印。投标文件的副本可采用投标文件的正本复印件，每套</w:t>
      </w: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应当标</w:t>
      </w:r>
      <w:r>
        <w:rPr>
          <w:rFonts w:ascii="宋体" w:hAnsi="宋体" w:eastAsia="宋体"/>
          <w:color w:val="auto"/>
          <w:sz w:val="21"/>
          <w:szCs w:val="21"/>
          <w:highlight w:val="none"/>
        </w:rPr>
        <w:t>明“正本”</w:t>
      </w:r>
      <w:r>
        <w:rPr>
          <w:rFonts w:hint="eastAsia" w:ascii="宋体" w:hAnsi="宋体" w:eastAsia="宋体"/>
          <w:color w:val="auto"/>
          <w:sz w:val="21"/>
          <w:szCs w:val="21"/>
          <w:highlight w:val="none"/>
        </w:rPr>
        <w:t>、</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的字样</w:t>
      </w:r>
      <w:r>
        <w:rPr>
          <w:rFonts w:ascii="宋体" w:hAnsi="宋体" w:eastAsia="宋体"/>
          <w:color w:val="auto"/>
          <w:sz w:val="21"/>
          <w:szCs w:val="21"/>
          <w:highlight w:val="none"/>
        </w:rPr>
        <w:t>。</w:t>
      </w:r>
      <w:r>
        <w:rPr>
          <w:rFonts w:hint="eastAsia" w:ascii="宋体" w:hAnsi="宋体" w:eastAsia="宋体"/>
          <w:color w:val="auto"/>
          <w:sz w:val="21"/>
          <w:szCs w:val="21"/>
          <w:highlight w:val="none"/>
        </w:rPr>
        <w:t>投标文件的【正本】及所有【副本】的封面及骑缝均须加盖投标人公章（文件每页盖章等同于盖骑缝章）。若</w:t>
      </w:r>
      <w:r>
        <w:rPr>
          <w:rFonts w:ascii="宋体" w:hAnsi="宋体" w:eastAsia="宋体"/>
          <w:color w:val="auto"/>
          <w:sz w:val="21"/>
          <w:szCs w:val="21"/>
          <w:highlight w:val="none"/>
        </w:rPr>
        <w:t>正本</w:t>
      </w:r>
      <w:r>
        <w:rPr>
          <w:rFonts w:hint="eastAsia" w:ascii="宋体" w:hAnsi="宋体" w:eastAsia="宋体"/>
          <w:color w:val="auto"/>
          <w:sz w:val="21"/>
          <w:szCs w:val="21"/>
          <w:highlight w:val="none"/>
        </w:rPr>
        <w:t>与</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不符，以</w:t>
      </w:r>
      <w:r>
        <w:rPr>
          <w:rFonts w:ascii="宋体" w:hAnsi="宋体" w:eastAsia="宋体"/>
          <w:color w:val="auto"/>
          <w:sz w:val="21"/>
          <w:szCs w:val="21"/>
          <w:highlight w:val="none"/>
        </w:rPr>
        <w:t>正本为准。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联合体投标文件的【正本】及【副本】的封面及骑缝均须加盖所有联合体组成成员的公章。（文件每页盖章等同于盖骑缝章）</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电子文件内容包括：由投标人自行制作的与正本文件一致的所有文件。电子文件</w:t>
      </w:r>
      <w:r>
        <w:rPr>
          <w:rFonts w:hint="eastAsia" w:ascii="宋体" w:hAnsi="宋体" w:eastAsia="宋体"/>
          <w:color w:val="auto"/>
          <w:sz w:val="21"/>
          <w:szCs w:val="21"/>
          <w:highlight w:val="none"/>
        </w:rPr>
        <w:t>由</w:t>
      </w:r>
      <w:r>
        <w:rPr>
          <w:rFonts w:ascii="宋体" w:hAnsi="宋体" w:eastAsia="宋体"/>
          <w:color w:val="auto"/>
          <w:sz w:val="21"/>
          <w:szCs w:val="21"/>
          <w:highlight w:val="none"/>
        </w:rPr>
        <w:t>光盘</w:t>
      </w:r>
      <w:r>
        <w:rPr>
          <w:rFonts w:hint="eastAsia" w:ascii="宋体" w:hAnsi="宋体" w:eastAsia="宋体"/>
          <w:color w:val="auto"/>
          <w:sz w:val="21"/>
          <w:szCs w:val="21"/>
          <w:highlight w:val="none"/>
        </w:rPr>
        <w:t>或U盘</w:t>
      </w:r>
      <w:r>
        <w:rPr>
          <w:rFonts w:ascii="宋体" w:hAnsi="宋体" w:eastAsia="宋体"/>
          <w:color w:val="auto"/>
          <w:sz w:val="21"/>
          <w:szCs w:val="21"/>
          <w:highlight w:val="none"/>
        </w:rPr>
        <w:t>储存</w:t>
      </w:r>
      <w:r>
        <w:rPr>
          <w:rFonts w:hint="eastAsia" w:ascii="宋体" w:hAnsi="宋体" w:eastAsia="宋体"/>
          <w:color w:val="auto"/>
          <w:sz w:val="21"/>
          <w:szCs w:val="21"/>
          <w:highlight w:val="none"/>
        </w:rPr>
        <w:t>，并注明投标人名称及项目名称、</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，随投标文件一同密封提交。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除投标人对错误处修改外，全套投标文件应无涂改或行间插字和增删。如有修改，修改处</w:t>
      </w:r>
      <w:r>
        <w:rPr>
          <w:rFonts w:hint="eastAsia" w:ascii="宋体" w:hAnsi="宋体" w:eastAsia="宋体"/>
          <w:color w:val="auto"/>
          <w:sz w:val="21"/>
          <w:szCs w:val="21"/>
          <w:highlight w:val="none"/>
        </w:rPr>
        <w:t>须由法定代表人或其正式授权代表在旁边签字</w:t>
      </w:r>
      <w:r>
        <w:rPr>
          <w:rFonts w:hint="eastAsia" w:ascii="宋体" w:hAnsi="宋体" w:eastAsia="宋体"/>
          <w:color w:val="auto"/>
          <w:sz w:val="21"/>
          <w:szCs w:val="21"/>
          <w:highlight w:val="none"/>
          <w:lang w:eastAsia="zh-CN"/>
        </w:rPr>
        <w:t>及</w:t>
      </w:r>
      <w:r>
        <w:rPr>
          <w:rFonts w:hint="eastAsia" w:ascii="宋体" w:hAnsi="宋体" w:eastAsia="宋体"/>
          <w:color w:val="auto"/>
          <w:sz w:val="21"/>
          <w:szCs w:val="21"/>
          <w:highlight w:val="none"/>
        </w:rPr>
        <w:t>盖章</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投标人应将投标文件进行非透明的封装，以防止投标文件内容的泄露。采购代理机构将拒绝接收采用透明包装进行密封的投标文件。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密封破损导致投标文件内容直接或间接泄露的投标文件，采购代理机构将拒绝接收。</w:t>
      </w:r>
    </w:p>
    <w:p>
      <w:pPr>
        <w:widowControl w:val="0"/>
        <w:numPr>
          <w:ilvl w:val="1"/>
          <w:numId w:val="4"/>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4"/>
        </w:numPr>
        <w:adjustRightInd/>
        <w:snapToGrid/>
        <w:spacing w:after="0" w:line="360" w:lineRule="exact"/>
        <w:jc w:val="both"/>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未单独提交开标文件的投标人投标文件不进行唱标</w:t>
      </w:r>
      <w:r>
        <w:rPr>
          <w:rFonts w:hint="eastAsia" w:ascii="宋体" w:hAnsi="宋体" w:eastAsia="宋体"/>
          <w:b/>
          <w:bCs/>
          <w:color w:val="auto"/>
          <w:sz w:val="21"/>
          <w:szCs w:val="21"/>
          <w:highlight w:val="none"/>
          <w:lang w:eastAsia="zh-CN"/>
        </w:rPr>
        <w:t>，投标文件作无效处理</w:t>
      </w:r>
      <w:r>
        <w:rPr>
          <w:rFonts w:hint="eastAsia" w:ascii="宋体" w:hAnsi="宋体" w:eastAsia="宋体"/>
          <w:b/>
          <w:bCs/>
          <w:color w:val="auto"/>
          <w:sz w:val="21"/>
          <w:szCs w:val="21"/>
          <w:highlight w:val="none"/>
        </w:rPr>
        <w:t>。</w:t>
      </w:r>
    </w:p>
    <w:p>
      <w:pPr>
        <w:widowControl w:val="0"/>
        <w:numPr>
          <w:ilvl w:val="1"/>
          <w:numId w:val="4"/>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所有的信封均应注明： </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收件人：</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未进行项目报名的单位（以采购代理机构报名表</w:t>
      </w:r>
      <w:r>
        <w:rPr>
          <w:rFonts w:hint="eastAsia" w:ascii="宋体" w:hAnsi="宋体" w:eastAsia="宋体"/>
          <w:color w:val="auto"/>
          <w:sz w:val="21"/>
          <w:szCs w:val="21"/>
          <w:highlight w:val="none"/>
          <w:lang w:eastAsia="zh-CN"/>
        </w:rPr>
        <w:t>或报名发票</w:t>
      </w:r>
      <w:r>
        <w:rPr>
          <w:rFonts w:hint="eastAsia" w:ascii="宋体" w:hAnsi="宋体" w:eastAsia="宋体"/>
          <w:color w:val="auto"/>
          <w:sz w:val="21"/>
          <w:szCs w:val="21"/>
          <w:highlight w:val="none"/>
        </w:rPr>
        <w:t>为准）递交的投标文件，采购代理机构将拒绝接收。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密封信封上的项目编号错误或项目名称出现严重歧义的（包括采购内容不符），采购代理机构将拒绝接收。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采购代理机构对所有投标文件的误投或提前启封概不负责。</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投标人同时参加几个包投标时必须按招标文件要求按包号分别制作投标文件，分别密封递交。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传真</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电传的投标文件将被拒绝。</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递交的投标文件中所提供的通讯方式应保持联络畅通，因联系不上而导致的所有后果由投标人自行承担。</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8" w:name="_Toc10743"/>
      <w:r>
        <w:rPr>
          <w:rFonts w:hint="eastAsia" w:ascii="宋体" w:hAnsi="宋体" w:eastAsia="宋体"/>
          <w:color w:val="auto"/>
          <w:sz w:val="21"/>
          <w:szCs w:val="21"/>
          <w:highlight w:val="none"/>
        </w:rPr>
        <w:t>18.迟交的投标文件</w:t>
      </w:r>
      <w:bookmarkEnd w:id="48"/>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投标人在投标截止时间之后提交的投标文件，采购代理机构将拒绝接收</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有违反其他法律规定情形的，采购代理机构将拒绝接收。</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9" w:name="_Toc348"/>
      <w:r>
        <w:rPr>
          <w:rFonts w:hint="eastAsia" w:ascii="宋体" w:hAnsi="宋体" w:eastAsia="宋体"/>
          <w:color w:val="auto"/>
          <w:sz w:val="21"/>
          <w:szCs w:val="21"/>
          <w:highlight w:val="none"/>
        </w:rPr>
        <w:t>19.投标样品（如需提交）</w:t>
      </w:r>
      <w:bookmarkEnd w:id="49"/>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如有必要，采购代理机构可以要求投标人提供本服务项目涉及的部分设备或产品样品，投标人在投标时应提交《样品清单》。</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为方便评标，投标人在提供样品时，</w:t>
      </w:r>
      <w:r>
        <w:rPr>
          <w:rFonts w:hint="eastAsia" w:ascii="宋体" w:hAnsi="宋体" w:eastAsia="宋体"/>
          <w:color w:val="auto"/>
          <w:sz w:val="21"/>
          <w:szCs w:val="21"/>
          <w:highlight w:val="none"/>
          <w:lang w:eastAsia="zh-CN"/>
        </w:rPr>
        <w:t>应</w:t>
      </w:r>
      <w:r>
        <w:rPr>
          <w:rFonts w:hint="eastAsia" w:ascii="宋体" w:hAnsi="宋体" w:eastAsia="宋体"/>
          <w:color w:val="auto"/>
          <w:sz w:val="21"/>
          <w:szCs w:val="21"/>
          <w:highlight w:val="none"/>
        </w:rPr>
        <w:t>在所提供的样品表面显著位置标注投标人的名称、包号、样品名称、招标文件规定的服务或货物编号。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0" w:name="_Toc9777"/>
      <w:bookmarkStart w:id="51" w:name="_Toc303084265"/>
      <w:bookmarkStart w:id="52" w:name="_Toc382049112"/>
      <w:bookmarkStart w:id="53" w:name="_Toc5391"/>
      <w:r>
        <w:rPr>
          <w:rFonts w:hint="eastAsia" w:ascii="宋体" w:hAnsi="宋体" w:eastAsia="宋体"/>
          <w:color w:val="auto"/>
          <w:sz w:val="21"/>
          <w:szCs w:val="21"/>
          <w:highlight w:val="none"/>
        </w:rPr>
        <w:t>20.投标截止期</w:t>
      </w:r>
      <w:bookmarkEnd w:id="50"/>
      <w:bookmarkEnd w:id="51"/>
      <w:bookmarkEnd w:id="52"/>
      <w:bookmarkEnd w:id="53"/>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投标人应在招标文件规定的截止日期和时间</w:t>
      </w:r>
      <w:r>
        <w:rPr>
          <w:rFonts w:hint="eastAsia" w:ascii="宋体" w:hAnsi="宋体" w:eastAsia="宋体"/>
          <w:color w:val="auto"/>
          <w:sz w:val="21"/>
          <w:szCs w:val="21"/>
          <w:highlight w:val="none"/>
          <w:lang w:eastAsia="zh-CN"/>
        </w:rPr>
        <w:t>内</w:t>
      </w:r>
      <w:r>
        <w:rPr>
          <w:rFonts w:hint="eastAsia" w:ascii="宋体" w:hAnsi="宋体" w:eastAsia="宋体"/>
          <w:color w:val="auto"/>
          <w:sz w:val="21"/>
          <w:szCs w:val="21"/>
          <w:highlight w:val="none"/>
        </w:rPr>
        <w:t>，将投标文件送达到指定地点。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可按本须知规定以</w:t>
      </w:r>
      <w:r>
        <w:rPr>
          <w:rFonts w:hint="eastAsia" w:ascii="宋体" w:hAnsi="宋体" w:eastAsia="宋体"/>
          <w:color w:val="auto"/>
          <w:sz w:val="21"/>
          <w:szCs w:val="21"/>
          <w:highlight w:val="none"/>
        </w:rPr>
        <w:t>澄清或</w:t>
      </w:r>
      <w:r>
        <w:rPr>
          <w:rFonts w:ascii="宋体" w:hAnsi="宋体" w:eastAsia="宋体"/>
          <w:color w:val="auto"/>
          <w:sz w:val="21"/>
          <w:szCs w:val="21"/>
          <w:highlight w:val="none"/>
        </w:rPr>
        <w:t>修改通知的方式，酌情延长</w:t>
      </w:r>
      <w:r>
        <w:rPr>
          <w:rFonts w:hint="eastAsia" w:ascii="宋体" w:hAnsi="宋体" w:eastAsia="宋体"/>
          <w:color w:val="auto"/>
          <w:sz w:val="21"/>
          <w:szCs w:val="21"/>
          <w:highlight w:val="none"/>
        </w:rPr>
        <w:t>递</w:t>
      </w:r>
      <w:r>
        <w:rPr>
          <w:rFonts w:ascii="宋体" w:hAnsi="宋体" w:eastAsia="宋体"/>
          <w:color w:val="auto"/>
          <w:sz w:val="21"/>
          <w:szCs w:val="21"/>
          <w:highlight w:val="none"/>
        </w:rPr>
        <w:t>交投标文件的截止时间。在此情况下，投标人的所有权利和义务以及投标人受制约的截止时间，均以延长后新的投标截止时间为准。</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4" w:name="_Toc5886"/>
      <w:r>
        <w:rPr>
          <w:rFonts w:hint="eastAsia" w:ascii="宋体" w:hAnsi="宋体" w:eastAsia="宋体"/>
          <w:color w:val="auto"/>
          <w:sz w:val="21"/>
          <w:szCs w:val="21"/>
          <w:highlight w:val="none"/>
        </w:rPr>
        <w:t>21.投标文件的补充、修改与撤回</w:t>
      </w:r>
      <w:bookmarkEnd w:id="54"/>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投标文件一经递交不予退还。</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在提交投标文件截止时间至投标有效期满之前，投标人不得撤回其投标，否则其投标保证金将不予退还。</w:t>
      </w:r>
    </w:p>
    <w:p>
      <w:pPr>
        <w:pStyle w:val="2"/>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55" w:name="_Toc31243"/>
      <w:r>
        <w:rPr>
          <w:rFonts w:hint="eastAsia" w:ascii="宋体" w:hAnsi="宋体" w:eastAsia="宋体"/>
          <w:color w:val="auto"/>
          <w:highlight w:val="none"/>
        </w:rPr>
        <w:t>开标与评标</w:t>
      </w:r>
      <w:bookmarkEnd w:id="55"/>
    </w:p>
    <w:p>
      <w:pPr>
        <w:pStyle w:val="5"/>
        <w:widowControl w:val="0"/>
        <w:overflowPunct w:val="0"/>
        <w:spacing w:before="0" w:after="0" w:line="240" w:lineRule="auto"/>
        <w:rPr>
          <w:rFonts w:ascii="宋体" w:hAnsi="宋体" w:eastAsia="宋体"/>
          <w:color w:val="auto"/>
          <w:sz w:val="21"/>
          <w:szCs w:val="21"/>
          <w:highlight w:val="none"/>
        </w:rPr>
      </w:pPr>
      <w:bookmarkStart w:id="56" w:name="_Toc30340"/>
      <w:r>
        <w:rPr>
          <w:rFonts w:hint="eastAsia" w:ascii="宋体" w:hAnsi="宋体" w:eastAsia="宋体"/>
          <w:color w:val="auto"/>
          <w:sz w:val="21"/>
          <w:szCs w:val="21"/>
          <w:highlight w:val="none"/>
        </w:rPr>
        <w:t>22.开标</w:t>
      </w:r>
      <w:bookmarkEnd w:id="56"/>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采购代理机构按</w:t>
      </w:r>
      <w:r>
        <w:rPr>
          <w:rFonts w:ascii="宋体" w:hAnsi="宋体" w:eastAsia="宋体"/>
          <w:color w:val="auto"/>
          <w:sz w:val="21"/>
          <w:szCs w:val="21"/>
          <w:highlight w:val="none"/>
        </w:rPr>
        <w:t>本</w:t>
      </w:r>
      <w:r>
        <w:rPr>
          <w:rFonts w:hint="eastAsia" w:ascii="宋体" w:hAnsi="宋体" w:eastAsia="宋体"/>
          <w:color w:val="auto"/>
          <w:sz w:val="21"/>
          <w:szCs w:val="21"/>
          <w:highlight w:val="none"/>
        </w:rPr>
        <w:t>招标文件</w:t>
      </w:r>
      <w:r>
        <w:rPr>
          <w:rFonts w:ascii="宋体" w:hAnsi="宋体" w:eastAsia="宋体"/>
          <w:color w:val="auto"/>
          <w:sz w:val="21"/>
          <w:szCs w:val="21"/>
          <w:highlight w:val="none"/>
        </w:rPr>
        <w:t>所规定的时间和地点公开开标，并邀请所有投标人</w:t>
      </w:r>
      <w:r>
        <w:rPr>
          <w:rFonts w:hint="eastAsia" w:ascii="宋体" w:hAnsi="宋体" w:eastAsia="宋体"/>
          <w:color w:val="auto"/>
          <w:sz w:val="21"/>
          <w:szCs w:val="21"/>
          <w:highlight w:val="none"/>
        </w:rPr>
        <w:t>代表</w:t>
      </w:r>
      <w:r>
        <w:rPr>
          <w:rFonts w:ascii="宋体" w:hAnsi="宋体" w:eastAsia="宋体"/>
          <w:color w:val="auto"/>
          <w:sz w:val="21"/>
          <w:szCs w:val="21"/>
          <w:highlight w:val="none"/>
        </w:rPr>
        <w:t>参加。</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开标程序：</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w:t>
      </w:r>
      <w:r>
        <w:rPr>
          <w:rFonts w:hint="eastAsia" w:ascii="宋体" w:hAnsi="宋体" w:eastAsia="宋体"/>
          <w:color w:val="auto"/>
          <w:sz w:val="21"/>
          <w:szCs w:val="21"/>
          <w:highlight w:val="none"/>
        </w:rPr>
        <w:t>会</w:t>
      </w:r>
      <w:r>
        <w:rPr>
          <w:rFonts w:ascii="宋体" w:hAnsi="宋体" w:eastAsia="宋体"/>
          <w:color w:val="auto"/>
          <w:sz w:val="21"/>
          <w:szCs w:val="21"/>
          <w:highlight w:val="none"/>
        </w:rPr>
        <w:t>由</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主持</w:t>
      </w:r>
      <w:r>
        <w:rPr>
          <w:rFonts w:hint="eastAsia" w:ascii="宋体" w:hAnsi="宋体" w:eastAsia="宋体"/>
          <w:color w:val="auto"/>
          <w:sz w:val="21"/>
          <w:szCs w:val="21"/>
          <w:highlight w:val="none"/>
        </w:rPr>
        <w:t>，投标人的法定代表人或其授权代表携带有效身份证明准时参加开标会并签名报到。</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投标人代表对开标过程和开标记录有</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，以及认为采购人、采购代理机构相关工作人员有需要回避的情形的，应当场提出询问或者回避申请。开标现场未提出</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的视为认同开标结果。开标结束后，投标人对开标过程和开标记录不得再提出</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投标人未参加开标的，视同认可开标结果。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合格投标人不足3家的，不得开标；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7" w:name="_Toc12198"/>
      <w:r>
        <w:rPr>
          <w:rFonts w:hint="eastAsia" w:ascii="宋体" w:hAnsi="宋体" w:eastAsia="宋体"/>
          <w:color w:val="auto"/>
          <w:sz w:val="21"/>
          <w:szCs w:val="21"/>
          <w:highlight w:val="none"/>
        </w:rPr>
        <w:t>23.评标委员会及评标方法</w:t>
      </w:r>
      <w:bookmarkEnd w:id="57"/>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评标委员会根据招标项目的特点进行组建，并负责评标工作。</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评审方法：本次招标的评审方法采用综合评分法。</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招标</w:t>
      </w:r>
      <w:r>
        <w:rPr>
          <w:rFonts w:hint="eastAsia" w:ascii="宋体" w:hAnsi="宋体" w:eastAsia="宋体"/>
          <w:color w:val="auto"/>
          <w:sz w:val="21"/>
          <w:szCs w:val="21"/>
          <w:highlight w:val="none"/>
        </w:rPr>
        <w:t>文件中要求</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提供的相关资质证书证明材料因国家政策变动导致新旧证书名称不一致，旧证书未取消且新旧证书具有同等效力的，</w:t>
      </w:r>
      <w:r>
        <w:rPr>
          <w:rFonts w:hint="eastAsia" w:ascii="宋体" w:hAnsi="宋体" w:eastAsia="宋体"/>
          <w:color w:val="auto"/>
          <w:sz w:val="21"/>
          <w:szCs w:val="21"/>
          <w:highlight w:val="none"/>
          <w:lang w:eastAsia="zh-CN"/>
        </w:rPr>
        <w:t>投标人</w:t>
      </w:r>
      <w:r>
        <w:rPr>
          <w:rFonts w:hint="eastAsia" w:ascii="宋体" w:hAnsi="宋体" w:eastAsia="宋体"/>
          <w:color w:val="auto"/>
          <w:sz w:val="21"/>
          <w:szCs w:val="21"/>
          <w:highlight w:val="none"/>
        </w:rPr>
        <w:t>提供新证书与提供在有效期内的旧证书给予同等认可。</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定标原则：在最大限度</w:t>
      </w:r>
      <w:r>
        <w:rPr>
          <w:rFonts w:ascii="宋体" w:hAnsi="宋体" w:eastAsia="宋体"/>
          <w:color w:val="auto"/>
          <w:sz w:val="21"/>
          <w:szCs w:val="21"/>
          <w:highlight w:val="none"/>
        </w:rPr>
        <w:t>满足招标文件</w:t>
      </w:r>
      <w:r>
        <w:rPr>
          <w:rFonts w:hint="eastAsia" w:ascii="宋体" w:hAnsi="宋体" w:eastAsia="宋体"/>
          <w:color w:val="auto"/>
          <w:sz w:val="21"/>
          <w:szCs w:val="21"/>
          <w:highlight w:val="none"/>
        </w:rPr>
        <w:t>实质性要求前提下，按照招标文件规定的各项评价因素进行量化打分，以评标总得分最高的投标人作为中标候选人或中标人。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评标委员会和采购人在评审过程中有权核对投标文件中相关材料的原件，投标人在接到通知后应在评标委员会规定的时间内提交原件核查。</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8" w:name="_Toc23115"/>
      <w:r>
        <w:rPr>
          <w:rFonts w:hint="eastAsia" w:ascii="宋体" w:hAnsi="宋体" w:eastAsia="宋体"/>
          <w:color w:val="auto"/>
          <w:sz w:val="21"/>
          <w:szCs w:val="21"/>
          <w:highlight w:val="none"/>
        </w:rPr>
        <w:t>24.评审原则及评标过程的保密</w:t>
      </w:r>
      <w:bookmarkEnd w:id="58"/>
    </w:p>
    <w:p>
      <w:pPr>
        <w:pStyle w:val="26"/>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评审的基本原则：评标委员会将依据</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的规定，遵循“公开、公平、公正、择优、信用”的原则进行评审工作。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从公开开标到签订合同，凡与审查、澄清、评审和投标有关的资料以及定标意见相关的事项，均不得向投标人及与评标无关的其他人透露。</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任何单位和个人不得非法干预、影响评标的过程和结果。</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9" w:name="_Toc29486"/>
      <w:r>
        <w:rPr>
          <w:rFonts w:hint="eastAsia" w:ascii="宋体" w:hAnsi="宋体" w:eastAsia="宋体"/>
          <w:color w:val="auto"/>
          <w:sz w:val="21"/>
          <w:szCs w:val="21"/>
          <w:highlight w:val="none"/>
        </w:rPr>
        <w:t>25.投标文件的初审</w:t>
      </w:r>
      <w:bookmarkEnd w:id="59"/>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的实质性要求。</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投标文件报价出现前后不一致的，评标委员会按照下列规定修正：</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投标文件中开标一览表（报价表）内容与投标文件中相应内容不一致的，以开标一览表（报价表）为准；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大写金额和小写金额不一致的，以大写金额为准；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单价金额小数点或者百分比有明显错位的，以开标一览表的总价为准，并修改单价；</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总价金额与按单价汇总金额不一致的，以单价金额计算结果为准。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同时出现两种以上不一致的，按照前款规定的顺序修正。修正后的报价按照经投标人确认后产生约束力，投标人不确认的，其投标无效。</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对于投标文件中不构成实质性偏差的不正规、不一致或不规则，评标委员会可以接受，但这种接受不能损害或影响任何投标人的相对排序。</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未响应招标文件的实质要求的投标文件</w:t>
      </w:r>
      <w:r>
        <w:rPr>
          <w:rFonts w:hint="eastAsia" w:ascii="宋体" w:hAnsi="宋体" w:eastAsia="宋体"/>
          <w:color w:val="auto"/>
          <w:sz w:val="21"/>
          <w:szCs w:val="21"/>
          <w:highlight w:val="none"/>
        </w:rPr>
        <w:t>作废标处理。投标人不得通过修正或撤消不合要求的偏离或保留从而使其投标成为实质上响应的投标。评标委员会评审中，</w:t>
      </w:r>
      <w:r>
        <w:rPr>
          <w:rFonts w:hint="eastAsia" w:ascii="宋体" w:hAnsi="宋体" w:eastAsia="宋体"/>
          <w:b/>
          <w:color w:val="auto"/>
          <w:sz w:val="21"/>
          <w:szCs w:val="21"/>
          <w:highlight w:val="none"/>
        </w:rPr>
        <w:t>发现下列情况之一的，其投标将作废标处理</w:t>
      </w:r>
      <w:r>
        <w:rPr>
          <w:rFonts w:hint="eastAsia" w:ascii="宋体" w:hAnsi="宋体" w:eastAsia="宋体"/>
          <w:color w:val="auto"/>
          <w:sz w:val="21"/>
          <w:szCs w:val="21"/>
          <w:highlight w:val="none"/>
        </w:rPr>
        <w:t>：</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（一）资格性检查</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1) 资格瑕疵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包括但不限于：①资格证明文件未提供或不符合招标文件要求的；</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②资格证明文件有效期过期的；③《营业执照》复印件（加盖公章）或《事业单位法人证书》复印件（加盖公章）或其他主体证书复印件（加盖公章）未提供或有效期过期的。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包括但不限于：①投标人未按招标文件要求提交投标保证金；②提交方式、提交时间、提交金额不符合招标文件要求；③投标保证金有效期不符合招标文件要求。</w:t>
      </w:r>
      <w:bookmarkStart w:id="60" w:name="_Ref179621189"/>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（二）符合性检查</w:t>
      </w:r>
      <w:bookmarkEnd w:id="60"/>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包括但不限于：①投标文件的数量、制作不符合要求（包括但不限于投标文件内容与采购内容不符，投标文件项目</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错误，投标文件项目名称错误导致无法分表所投项目为本项目的，</w:t>
      </w:r>
      <w:r>
        <w:rPr>
          <w:rFonts w:hint="eastAsia" w:ascii="宋体" w:hAnsi="宋体" w:eastAsia="宋体"/>
          <w:color w:val="auto"/>
          <w:sz w:val="21"/>
          <w:szCs w:val="21"/>
          <w:highlight w:val="none"/>
          <w:lang w:eastAsia="zh-CN"/>
        </w:rPr>
        <w:t>投标文件散落</w:t>
      </w:r>
      <w:r>
        <w:rPr>
          <w:rFonts w:hint="eastAsia" w:ascii="宋体" w:hAnsi="宋体" w:eastAsia="宋体"/>
          <w:color w:val="auto"/>
          <w:sz w:val="21"/>
          <w:szCs w:val="21"/>
          <w:highlight w:val="none"/>
        </w:rPr>
        <w:t>，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4）投标报价瑕疵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①投标报价超过本招标文件明确的项目预算或文件明确的最高限价；②投标报价格式与文件要求不符</w:t>
      </w:r>
      <w:r>
        <w:rPr>
          <w:rFonts w:hint="eastAsia" w:ascii="宋体" w:hAnsi="宋体" w:eastAsia="宋体"/>
          <w:color w:val="auto"/>
          <w:sz w:val="21"/>
          <w:szCs w:val="21"/>
          <w:highlight w:val="none"/>
          <w:lang w:eastAsia="zh-CN"/>
        </w:rPr>
        <w:t>；③开标一览表格式或内容与招标文件要求不符。</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5）违规行为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包括但不限于：①以他人的名义投标、串通投标、以行贿手段谋取中标或者以其他弄虚作假方式投标的；②扰乱开标、评标秩序，干扰招标工作正常进行的。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6)法律法规及招标文件中规定的其它情形。</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根据项目情况，评标委员会有权决定招标文件中“可能导致废标”或“可能导致其投标被拒绝”等具体条款是否实施“废标”或“投标被拒绝”，但对同一条款的裁决应适用于每个投标人。</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1" w:name="_Toc19775"/>
      <w:r>
        <w:rPr>
          <w:rFonts w:hint="eastAsia" w:ascii="宋体" w:hAnsi="宋体" w:eastAsia="宋体"/>
          <w:color w:val="auto"/>
          <w:sz w:val="21"/>
          <w:szCs w:val="21"/>
          <w:highlight w:val="none"/>
        </w:rPr>
        <w:t>26.商务、技术、价格评审（具体评审项目详见投标资料表）</w:t>
      </w:r>
      <w:bookmarkEnd w:id="61"/>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对通过</w:t>
      </w:r>
      <w:r>
        <w:rPr>
          <w:rFonts w:hint="eastAsia" w:ascii="宋体" w:hAnsi="宋体" w:eastAsia="宋体"/>
          <w:color w:val="auto"/>
          <w:sz w:val="21"/>
          <w:szCs w:val="21"/>
          <w:highlight w:val="none"/>
        </w:rPr>
        <w:t>资格性审查和</w:t>
      </w:r>
      <w:r>
        <w:rPr>
          <w:rFonts w:ascii="宋体" w:hAnsi="宋体" w:eastAsia="宋体"/>
          <w:color w:val="auto"/>
          <w:sz w:val="21"/>
          <w:szCs w:val="21"/>
          <w:highlight w:val="none"/>
        </w:rPr>
        <w:t>符合性检查的投标人进行商务技术综合评议，针对投标文件对招标文件的响应情况对各个投标人进行商务和技术评分</w:t>
      </w:r>
      <w:r>
        <w:rPr>
          <w:rFonts w:hint="eastAsia" w:ascii="宋体" w:hAnsi="宋体" w:eastAsia="宋体"/>
          <w:color w:val="auto"/>
          <w:sz w:val="21"/>
          <w:szCs w:val="21"/>
          <w:highlight w:val="none"/>
        </w:rPr>
        <w:t xml:space="preserve">。 </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hint="eastAsia" w:ascii="宋体" w:hAnsi="宋体" w:eastAsia="宋体"/>
          <w:color w:val="auto"/>
          <w:sz w:val="21"/>
          <w:szCs w:val="21"/>
          <w:highlight w:val="none"/>
          <w:lang w:val="en-US" w:eastAsia="zh-CN"/>
        </w:rPr>
      </w:pPr>
      <w:bookmarkStart w:id="62" w:name="_Toc17229"/>
      <w:r>
        <w:rPr>
          <w:rFonts w:hint="eastAsia" w:ascii="宋体" w:hAnsi="宋体" w:eastAsia="宋体"/>
          <w:color w:val="auto"/>
          <w:sz w:val="21"/>
          <w:szCs w:val="21"/>
          <w:highlight w:val="none"/>
        </w:rPr>
        <w:t>27.优惠政策</w:t>
      </w:r>
      <w:bookmarkEnd w:id="62"/>
      <w:r>
        <w:rPr>
          <w:rFonts w:hint="eastAsia" w:ascii="宋体" w:hAnsi="宋体" w:eastAsia="宋体"/>
          <w:color w:val="auto"/>
          <w:sz w:val="21"/>
          <w:szCs w:val="21"/>
          <w:highlight w:val="none"/>
          <w:lang w:eastAsia="zh-CN"/>
        </w:rPr>
        <w:t>（仅适用于政府采购）</w:t>
      </w:r>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根据财政部、工业和信息化部制定了《</w:t>
      </w:r>
      <w:r>
        <w:rPr>
          <w:rFonts w:hint="eastAsia" w:ascii="宋体" w:hAnsi="宋体" w:eastAsia="宋体"/>
          <w:color w:val="auto"/>
          <w:sz w:val="21"/>
          <w:szCs w:val="21"/>
          <w:highlight w:val="none"/>
          <w:lang w:eastAsia="zh-CN"/>
        </w:rPr>
        <w:t>政府采购促进中小企业发展管理办法</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（财库〔2020〕46号）</w:t>
      </w:r>
      <w:r>
        <w:rPr>
          <w:rFonts w:hint="eastAsia" w:ascii="宋体" w:hAnsi="宋体" w:eastAsia="宋体"/>
          <w:color w:val="auto"/>
          <w:sz w:val="21"/>
          <w:szCs w:val="21"/>
          <w:highlight w:val="none"/>
        </w:rPr>
        <w:t>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投标人为小型或微型企业且投标产品含小型或微型企业产品时，其对应产品价格的扣除详见投标资料表。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在货物采购项目中，供应商提供的货物既有中小企业制造货物，也有大型企业制造货物的，不享受</w:t>
      </w:r>
      <w:r>
        <w:rPr>
          <w:rFonts w:hint="eastAsia" w:ascii="宋体" w:hAnsi="宋体" w:eastAsia="宋体"/>
          <w:color w:val="auto"/>
          <w:sz w:val="21"/>
          <w:szCs w:val="21"/>
          <w:highlight w:val="none"/>
          <w:lang w:eastAsia="zh-CN"/>
        </w:rPr>
        <w:t>“财政部 工业和信息化部关于印发《政府采购促进中小企业发展管理办法》的通知（财库〔2020〕46号）”</w:t>
      </w:r>
      <w:r>
        <w:rPr>
          <w:rFonts w:hint="eastAsia" w:ascii="宋体" w:hAnsi="宋体" w:eastAsia="宋体"/>
          <w:color w:val="auto"/>
          <w:sz w:val="21"/>
          <w:szCs w:val="21"/>
          <w:highlight w:val="none"/>
        </w:rPr>
        <w:t>规定的中小企业扶持政策。</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投标人同时为小型、微型企业、监狱企业、残疾人福利性单位任两种或以上情况的，评审中只享受一次价格扣除，不重复进行价格扣除。</w:t>
      </w:r>
    </w:p>
    <w:p>
      <w:pPr>
        <w:widowControl w:val="0"/>
        <w:numPr>
          <w:ilvl w:val="1"/>
          <w:numId w:val="4"/>
        </w:numPr>
        <w:tabs>
          <w:tab w:val="left" w:pos="907"/>
        </w:tabs>
        <w:adjustRightInd/>
        <w:snapToGrid/>
        <w:spacing w:after="0" w:line="360" w:lineRule="exact"/>
        <w:jc w:val="both"/>
        <w:rPr>
          <w:rFonts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中标、成交供应商享受本办法（财库〔2020〕46号）规定的中小企业扶持政策的，采购代理机构</w:t>
      </w:r>
      <w:r>
        <w:rPr>
          <w:rFonts w:hint="eastAsia" w:ascii="宋体" w:hAnsi="宋体" w:eastAsia="宋体"/>
          <w:b/>
          <w:bCs/>
          <w:color w:val="auto"/>
          <w:sz w:val="21"/>
          <w:szCs w:val="21"/>
          <w:highlight w:val="none"/>
          <w:u w:val="single"/>
          <w:lang w:eastAsia="zh-CN"/>
        </w:rPr>
        <w:t>将</w:t>
      </w:r>
      <w:r>
        <w:rPr>
          <w:rFonts w:hint="eastAsia" w:ascii="宋体" w:hAnsi="宋体" w:eastAsia="宋体"/>
          <w:b/>
          <w:bCs/>
          <w:color w:val="auto"/>
          <w:sz w:val="21"/>
          <w:szCs w:val="21"/>
          <w:highlight w:val="none"/>
          <w:u w:val="single"/>
        </w:rPr>
        <w:t>随中标、成交结果公开中标、成交供应商的《中小企业声明函》。</w:t>
      </w:r>
      <w:r>
        <w:rPr>
          <w:rFonts w:hint="eastAsia" w:ascii="宋体" w:hAnsi="宋体" w:eastAsia="宋体"/>
          <w:b/>
          <w:bCs/>
          <w:color w:val="auto"/>
          <w:sz w:val="21"/>
          <w:szCs w:val="21"/>
          <w:highlight w:val="none"/>
          <w:u w:val="single"/>
          <w:lang w:eastAsia="zh-CN"/>
        </w:rPr>
        <w:t>各供应商不得提供虚假声明，提供虚假声明取消中标、成交资格，并追究其法律责任。</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（5）提供本单位制造的货物、承担的工程或者服务（以下简称产品），或者提供其他残疾人福利性单位制造的货物（不包括使用非残疾人福利性单位注册商标的货物）。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提供节能产品或环境标志产品的投标人其产品应符合以下规定：</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3" w:name="_Toc316375620"/>
      <w:bookmarkStart w:id="64" w:name="_Toc382049120"/>
      <w:bookmarkStart w:id="65" w:name="_Toc15628"/>
      <w:bookmarkStart w:id="66" w:name="_Toc20328"/>
      <w:r>
        <w:rPr>
          <w:rFonts w:hint="eastAsia" w:ascii="宋体" w:hAnsi="宋体" w:eastAsia="宋体"/>
          <w:color w:val="auto"/>
          <w:sz w:val="21"/>
          <w:szCs w:val="21"/>
          <w:highlight w:val="none"/>
        </w:rPr>
        <w:t>28.纪律和</w:t>
      </w:r>
      <w:r>
        <w:rPr>
          <w:rFonts w:ascii="宋体" w:hAnsi="宋体" w:eastAsia="宋体"/>
          <w:color w:val="auto"/>
          <w:sz w:val="21"/>
          <w:szCs w:val="21"/>
          <w:highlight w:val="none"/>
        </w:rPr>
        <w:t>保密</w:t>
      </w:r>
      <w:bookmarkEnd w:id="63"/>
      <w:r>
        <w:rPr>
          <w:rFonts w:hint="eastAsia" w:ascii="宋体" w:hAnsi="宋体" w:eastAsia="宋体"/>
          <w:color w:val="auto"/>
          <w:sz w:val="21"/>
          <w:szCs w:val="21"/>
          <w:highlight w:val="none"/>
        </w:rPr>
        <w:t>事项</w:t>
      </w:r>
      <w:bookmarkEnd w:id="64"/>
      <w:bookmarkEnd w:id="65"/>
      <w:bookmarkEnd w:id="66"/>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投标人不得串通作弊，以不正当的手段妨碍、排挤其他投标人，扰乱招标市场，破坏公平竞争原则。否则将按相关法律规定严肃处理。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获得本招标文件的投标人，应对文件进行保密，不得用作本次投标以外的任何用途。开标后，投标人应归还招标文件中要求保密的文件和资料。</w:t>
      </w:r>
    </w:p>
    <w:p>
      <w:pPr>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67" w:name="_Toc16902"/>
      <w:r>
        <w:rPr>
          <w:rFonts w:hint="eastAsia" w:ascii="宋体" w:hAnsi="宋体" w:eastAsia="宋体"/>
          <w:color w:val="auto"/>
          <w:highlight w:val="none"/>
        </w:rPr>
        <w:t>授予合同</w:t>
      </w:r>
      <w:bookmarkEnd w:id="67"/>
    </w:p>
    <w:p>
      <w:pPr>
        <w:pStyle w:val="5"/>
        <w:widowControl w:val="0"/>
        <w:overflowPunct w:val="0"/>
        <w:spacing w:before="0" w:after="0" w:line="240" w:lineRule="auto"/>
        <w:rPr>
          <w:rFonts w:ascii="宋体" w:hAnsi="宋体" w:eastAsia="宋体"/>
          <w:color w:val="auto"/>
          <w:sz w:val="21"/>
          <w:szCs w:val="21"/>
          <w:highlight w:val="none"/>
        </w:rPr>
      </w:pPr>
      <w:bookmarkStart w:id="68" w:name="_Toc2727"/>
      <w:bookmarkStart w:id="69" w:name="_Toc508284011"/>
      <w:r>
        <w:rPr>
          <w:rFonts w:hint="eastAsia" w:ascii="宋体" w:hAnsi="宋体" w:eastAsia="宋体"/>
          <w:color w:val="auto"/>
          <w:sz w:val="21"/>
          <w:szCs w:val="21"/>
          <w:highlight w:val="none"/>
        </w:rPr>
        <w:t>29.</w:t>
      </w:r>
      <w:r>
        <w:rPr>
          <w:rFonts w:ascii="宋体" w:hAnsi="宋体" w:eastAsia="宋体"/>
          <w:color w:val="auto"/>
          <w:sz w:val="21"/>
          <w:szCs w:val="21"/>
          <w:highlight w:val="none"/>
        </w:rPr>
        <w:t>合同授予标准</w:t>
      </w:r>
      <w:bookmarkEnd w:id="68"/>
      <w:bookmarkEnd w:id="69"/>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根据评标委员会的评审结果，采购人按照评审报告推荐的中标候选人中按顺序依法确定中标人</w:t>
      </w:r>
      <w:r>
        <w:rPr>
          <w:rFonts w:ascii="宋体" w:hAnsi="宋体" w:eastAsia="宋体"/>
          <w:color w:val="auto"/>
          <w:sz w:val="21"/>
          <w:szCs w:val="21"/>
          <w:highlight w:val="none"/>
        </w:rPr>
        <w:t>。</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0" w:name="_Toc24457"/>
      <w:bookmarkStart w:id="71" w:name="_Toc508284013"/>
      <w:r>
        <w:rPr>
          <w:rFonts w:hint="eastAsia" w:ascii="宋体" w:hAnsi="宋体" w:eastAsia="宋体"/>
          <w:color w:val="auto"/>
          <w:sz w:val="21"/>
          <w:szCs w:val="21"/>
          <w:highlight w:val="none"/>
        </w:rPr>
        <w:t>30.发布中标结果</w:t>
      </w:r>
      <w:bookmarkEnd w:id="70"/>
      <w:bookmarkEnd w:id="71"/>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评标委员会提出评标书面报告和推荐中标意见报采购人确认后，采购代理机构将在指定的信息发布媒体上发布公告。</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中标公告期限为1个工作日。</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《中标通知书》是合同的一个组成部分，《中标通知书》对采购人和中标人均具有同等法律效力。</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中标人为残疾人福利性单位的，采购人或者其委托的采购代理机构应当随中标、成交结果同时公告其《残疾人福利性单位声明函》，接受社会监督。</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2" w:name="_Toc29766"/>
      <w:r>
        <w:rPr>
          <w:rFonts w:hint="eastAsia" w:ascii="宋体" w:hAnsi="宋体" w:eastAsia="宋体"/>
          <w:color w:val="auto"/>
          <w:sz w:val="21"/>
          <w:szCs w:val="21"/>
          <w:highlight w:val="none"/>
        </w:rPr>
        <w:t>31.合同的签订与履行</w:t>
      </w:r>
      <w:bookmarkEnd w:id="72"/>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采购人与中标人应当根据合同的约定依法履行合同义务。</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采购合同的履行、违约责任和解决争议的方法等适用《中华人民共和国</w:t>
      </w:r>
      <w:r>
        <w:rPr>
          <w:rFonts w:hint="eastAsia" w:ascii="宋体" w:hAnsi="宋体" w:eastAsia="宋体"/>
          <w:color w:val="auto"/>
          <w:sz w:val="21"/>
          <w:szCs w:val="21"/>
          <w:highlight w:val="none"/>
          <w:lang w:eastAsia="zh-CN"/>
        </w:rPr>
        <w:t>民法典</w:t>
      </w:r>
      <w:r>
        <w:rPr>
          <w:rFonts w:hint="eastAsia" w:ascii="宋体" w:hAnsi="宋体" w:eastAsia="宋体"/>
          <w:color w:val="auto"/>
          <w:sz w:val="21"/>
          <w:szCs w:val="21"/>
          <w:highlight w:val="none"/>
        </w:rPr>
        <w:t>》。</w:t>
      </w:r>
    </w:p>
    <w:p>
      <w:pPr>
        <w:widowControl w:val="0"/>
        <w:numPr>
          <w:ilvl w:val="1"/>
          <w:numId w:val="4"/>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合同签订之日起2个工作日内，中标人</w:t>
      </w:r>
      <w:r>
        <w:rPr>
          <w:rFonts w:hint="eastAsia" w:ascii="宋体" w:hAnsi="宋体" w:eastAsia="宋体"/>
          <w:b/>
          <w:color w:val="auto"/>
          <w:sz w:val="21"/>
          <w:szCs w:val="21"/>
          <w:highlight w:val="none"/>
          <w:lang w:eastAsia="zh-CN"/>
        </w:rPr>
        <w:t>应</w:t>
      </w:r>
      <w:r>
        <w:rPr>
          <w:rFonts w:hint="eastAsia" w:ascii="宋体" w:hAnsi="宋体" w:eastAsia="宋体"/>
          <w:b/>
          <w:color w:val="auto"/>
          <w:sz w:val="21"/>
          <w:szCs w:val="21"/>
          <w:highlight w:val="none"/>
        </w:rPr>
        <w:t>将所签订的合同副本（加盖公章）交至</w:t>
      </w:r>
      <w:r>
        <w:rPr>
          <w:rFonts w:hint="eastAsia" w:ascii="宋体" w:hAnsi="宋体" w:eastAsia="宋体"/>
          <w:b/>
          <w:color w:val="auto"/>
          <w:sz w:val="21"/>
          <w:szCs w:val="21"/>
          <w:highlight w:val="none"/>
          <w:lang w:eastAsia="zh-CN"/>
        </w:rPr>
        <w:t>三方诚信招标有限公司</w:t>
      </w:r>
      <w:r>
        <w:rPr>
          <w:rFonts w:hint="eastAsia" w:ascii="宋体" w:hAnsi="宋体" w:eastAsia="宋体"/>
          <w:b/>
          <w:color w:val="auto"/>
          <w:sz w:val="21"/>
          <w:szCs w:val="21"/>
          <w:highlight w:val="none"/>
        </w:rPr>
        <w:t>东莞分公司归档。</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3" w:name="_Toc23764"/>
      <w:bookmarkStart w:id="74" w:name="_Toc29009"/>
      <w:bookmarkStart w:id="75" w:name="_Toc303084277"/>
      <w:bookmarkStart w:id="76" w:name="_Toc382049124"/>
      <w:r>
        <w:rPr>
          <w:rFonts w:hint="eastAsia" w:ascii="宋体" w:hAnsi="宋体" w:eastAsia="宋体"/>
          <w:color w:val="auto"/>
          <w:sz w:val="21"/>
          <w:szCs w:val="21"/>
          <w:highlight w:val="none"/>
        </w:rPr>
        <w:t>32.</w:t>
      </w:r>
      <w:r>
        <w:rPr>
          <w:rFonts w:ascii="宋体" w:hAnsi="宋体" w:eastAsia="宋体"/>
          <w:color w:val="auto"/>
          <w:sz w:val="21"/>
          <w:szCs w:val="21"/>
          <w:highlight w:val="none"/>
        </w:rPr>
        <w:t>履约</w:t>
      </w:r>
      <w:r>
        <w:rPr>
          <w:rFonts w:hint="eastAsia" w:ascii="宋体" w:hAnsi="宋体" w:eastAsia="宋体"/>
          <w:color w:val="auto"/>
          <w:sz w:val="21"/>
          <w:szCs w:val="21"/>
          <w:highlight w:val="none"/>
        </w:rPr>
        <w:t>保证金</w:t>
      </w:r>
      <w:bookmarkEnd w:id="73"/>
      <w:bookmarkEnd w:id="74"/>
      <w:bookmarkEnd w:id="75"/>
      <w:bookmarkEnd w:id="76"/>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采用保证金（银行转帐、电汇）方式：中标人必须保证资金在签订合同前到帐。履约保证金账户采购人另行通知，到期后无息退还。</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pPr>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77" w:name="_Toc19464"/>
      <w:r>
        <w:rPr>
          <w:rFonts w:hint="eastAsia" w:ascii="宋体" w:hAnsi="宋体" w:eastAsia="宋体"/>
          <w:color w:val="auto"/>
          <w:highlight w:val="none"/>
        </w:rPr>
        <w:t>询问或质疑</w:t>
      </w:r>
      <w:bookmarkEnd w:id="77"/>
    </w:p>
    <w:p>
      <w:pPr>
        <w:pStyle w:val="5"/>
        <w:widowControl w:val="0"/>
        <w:overflowPunct w:val="0"/>
        <w:spacing w:before="0" w:after="0" w:line="240" w:lineRule="auto"/>
        <w:rPr>
          <w:rFonts w:ascii="宋体" w:hAnsi="宋体" w:eastAsia="宋体"/>
          <w:color w:val="auto"/>
          <w:sz w:val="21"/>
          <w:szCs w:val="21"/>
          <w:highlight w:val="none"/>
        </w:rPr>
      </w:pPr>
      <w:bookmarkStart w:id="78" w:name="_Toc27711"/>
      <w:r>
        <w:rPr>
          <w:rFonts w:hint="eastAsia" w:ascii="宋体" w:hAnsi="宋体" w:eastAsia="宋体"/>
          <w:color w:val="auto"/>
          <w:sz w:val="21"/>
          <w:szCs w:val="21"/>
          <w:highlight w:val="none"/>
        </w:rPr>
        <w:t>33.询问</w:t>
      </w:r>
      <w:bookmarkEnd w:id="78"/>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投标人对采购活动事项（</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9" w:name="_Toc18644"/>
      <w:r>
        <w:rPr>
          <w:rFonts w:hint="eastAsia" w:ascii="宋体" w:hAnsi="宋体" w:eastAsia="宋体"/>
          <w:color w:val="auto"/>
          <w:sz w:val="21"/>
          <w:szCs w:val="21"/>
          <w:highlight w:val="none"/>
        </w:rPr>
        <w:t>34.质疑</w:t>
      </w:r>
      <w:bookmarkEnd w:id="79"/>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提出质疑的投标人应当是参与所质疑项目采购活动的供应商或是在规定的时间内已依法获取其可质疑的</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的潜在供应商。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供应商认为</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投标人在法定质疑期内须一次性提出针对同一采购程序环节的质疑，对同一采购程序环节的二次质疑采购代理机构不予受理。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授权委托书应当载明代理人的姓名或者名称、代理事项、具体权限、期限和相关事项。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投标人提出质疑应当提交质疑函和必要的证明材料（须注明法律依据），因缺少相关证明材料或证明材料存在不真实而导致的后果由投标人自行承担。</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不涉及对投标人利益造成损害的相关内容，不能作为质疑内容提交。</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以联合体形式参加政府采购活动的，其质疑应当由组成联合体的所有投标人共同提出。</w:t>
      </w:r>
    </w:p>
    <w:p>
      <w:pPr>
        <w:rPr>
          <w:color w:val="auto"/>
          <w:highlight w:val="none"/>
        </w:rPr>
      </w:pPr>
    </w:p>
    <w:p>
      <w:pPr>
        <w:pStyle w:val="4"/>
        <w:numPr>
          <w:ilvl w:val="0"/>
          <w:numId w:val="3"/>
        </w:numPr>
        <w:spacing w:before="0" w:after="0" w:line="480" w:lineRule="auto"/>
        <w:jc w:val="center"/>
        <w:rPr>
          <w:rFonts w:ascii="宋体" w:hAnsi="宋体" w:eastAsia="宋体"/>
          <w:color w:val="auto"/>
          <w:highlight w:val="none"/>
        </w:rPr>
      </w:pPr>
      <w:bookmarkStart w:id="80" w:name="_Toc10071"/>
      <w:r>
        <w:rPr>
          <w:rFonts w:hint="eastAsia" w:ascii="宋体" w:hAnsi="宋体" w:eastAsia="宋体"/>
          <w:color w:val="auto"/>
          <w:highlight w:val="none"/>
        </w:rPr>
        <w:t>其他</w:t>
      </w:r>
      <w:bookmarkEnd w:id="80"/>
    </w:p>
    <w:p>
      <w:pPr>
        <w:pStyle w:val="5"/>
        <w:widowControl w:val="0"/>
        <w:overflowPunct w:val="0"/>
        <w:spacing w:before="0" w:after="0" w:line="240" w:lineRule="auto"/>
        <w:rPr>
          <w:rFonts w:ascii="宋体" w:hAnsi="宋体" w:eastAsia="宋体"/>
          <w:color w:val="auto"/>
          <w:sz w:val="21"/>
          <w:szCs w:val="21"/>
          <w:highlight w:val="none"/>
        </w:rPr>
      </w:pPr>
      <w:bookmarkStart w:id="81" w:name="_Toc27449"/>
      <w:r>
        <w:rPr>
          <w:rFonts w:hint="eastAsia" w:ascii="宋体" w:hAnsi="宋体" w:eastAsia="宋体"/>
          <w:color w:val="auto"/>
          <w:sz w:val="21"/>
          <w:szCs w:val="21"/>
          <w:highlight w:val="none"/>
        </w:rPr>
        <w:t>35.招标文件的解释权</w:t>
      </w:r>
      <w:bookmarkEnd w:id="81"/>
    </w:p>
    <w:p>
      <w:pPr>
        <w:pStyle w:val="26"/>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版本号：三方诚信20</w:t>
      </w:r>
      <w:r>
        <w:rPr>
          <w:rFonts w:hint="eastAsia" w:ascii="宋体" w:hAnsi="宋体" w:eastAsia="宋体"/>
          <w:color w:val="auto"/>
          <w:sz w:val="21"/>
          <w:szCs w:val="21"/>
          <w:highlight w:val="none"/>
          <w:lang w:val="en-US" w:eastAsia="zh-CN"/>
        </w:rPr>
        <w:t>210506</w:t>
      </w:r>
      <w:r>
        <w:rPr>
          <w:rFonts w:hint="eastAsia" w:ascii="宋体" w:hAnsi="宋体" w:eastAsia="宋体"/>
          <w:color w:val="auto"/>
          <w:sz w:val="21"/>
          <w:szCs w:val="21"/>
          <w:highlight w:val="none"/>
        </w:rPr>
        <w:t>。</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是根据国家有关法律、法规以及政府采购管理有关规定和参照国际惯例编制，解释权属本采购代理机构。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3"/>
        <w:spacing w:before="0" w:after="0" w:line="240" w:lineRule="auto"/>
        <w:rPr>
          <w:color w:val="auto"/>
          <w:sz w:val="28"/>
          <w:szCs w:val="28"/>
          <w:highlight w:val="none"/>
        </w:rPr>
      </w:pPr>
      <w:bookmarkStart w:id="82" w:name="_Toc3263"/>
      <w:r>
        <w:rPr>
          <w:rFonts w:hint="eastAsia"/>
          <w:color w:val="auto"/>
          <w:sz w:val="28"/>
          <w:szCs w:val="28"/>
          <w:highlight w:val="none"/>
        </w:rPr>
        <w:t>第五部分 合同格式（仅供参考）</w:t>
      </w:r>
      <w:bookmarkEnd w:id="82"/>
      <w:bookmarkStart w:id="83" w:name="_Toc13430"/>
      <w:bookmarkStart w:id="84" w:name="_Toc1534"/>
      <w:bookmarkStart w:id="85" w:name="_Toc21155"/>
    </w:p>
    <w:p>
      <w:pPr>
        <w:pStyle w:val="4"/>
        <w:spacing w:before="0" w:after="0" w:line="240" w:lineRule="auto"/>
        <w:jc w:val="center"/>
        <w:rPr>
          <w:rFonts w:ascii="宋体" w:hAnsi="宋体" w:eastAsia="宋体" w:cs="宋体"/>
          <w:color w:val="auto"/>
          <w:highlight w:val="none"/>
        </w:rPr>
      </w:pPr>
      <w:bookmarkStart w:id="86" w:name="_Toc32348"/>
      <w:r>
        <w:rPr>
          <w:rFonts w:hint="eastAsia" w:ascii="宋体" w:hAnsi="宋体" w:eastAsia="宋体" w:cs="宋体"/>
          <w:color w:val="auto"/>
          <w:highlight w:val="none"/>
        </w:rPr>
        <w:t>合同格式</w:t>
      </w:r>
      <w:bookmarkEnd w:id="83"/>
      <w:bookmarkEnd w:id="84"/>
      <w:bookmarkEnd w:id="85"/>
      <w:bookmarkEnd w:id="86"/>
    </w:p>
    <w:p>
      <w:pPr>
        <w:spacing w:line="420" w:lineRule="atLeast"/>
        <w:ind w:right="560"/>
        <w:rPr>
          <w:rFonts w:ascii="宋体" w:hAnsi="宋体" w:eastAsia="宋体"/>
          <w:color w:val="auto"/>
          <w:sz w:val="21"/>
          <w:szCs w:val="21"/>
          <w:highlight w:val="none"/>
        </w:rPr>
      </w:pPr>
      <w:r>
        <w:rPr>
          <w:rFonts w:hint="eastAsia" w:ascii="宋体" w:hAnsi="宋体" w:eastAsia="宋体"/>
          <w:color w:val="auto"/>
          <w:sz w:val="21"/>
          <w:szCs w:val="21"/>
          <w:highlight w:val="none"/>
        </w:rPr>
        <w:t>合同编号：</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甲方：</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乙方：“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受甲方委托，</w:t>
      </w:r>
      <w:r>
        <w:rPr>
          <w:rFonts w:hint="eastAsia" w:ascii="宋体" w:hAnsi="宋体" w:eastAsia="宋体"/>
          <w:color w:val="auto"/>
          <w:sz w:val="21"/>
          <w:szCs w:val="21"/>
          <w:highlight w:val="none"/>
          <w:u w:val="single"/>
        </w:rPr>
        <w:t xml:space="preserve">           (采购代理机构)</w:t>
      </w:r>
      <w:r>
        <w:rPr>
          <w:rFonts w:hint="eastAsia" w:ascii="宋体" w:hAnsi="宋体" w:eastAsia="宋体"/>
          <w:color w:val="auto"/>
          <w:sz w:val="21"/>
          <w:szCs w:val="21"/>
          <w:highlight w:val="none"/>
        </w:rPr>
        <w:t>组织对</w:t>
      </w:r>
      <w:r>
        <w:rPr>
          <w:rFonts w:hint="eastAsia" w:ascii="宋体" w:hAnsi="宋体" w:eastAsia="宋体"/>
          <w:color w:val="auto"/>
          <w:sz w:val="21"/>
          <w:szCs w:val="21"/>
          <w:highlight w:val="none"/>
          <w:u w:val="single"/>
        </w:rPr>
        <w:t xml:space="preserve">         （项目名称）</w:t>
      </w:r>
      <w:r>
        <w:rPr>
          <w:rFonts w:hint="eastAsia" w:ascii="宋体" w:hAnsi="宋体" w:eastAsia="宋体"/>
          <w:color w:val="auto"/>
          <w:sz w:val="21"/>
          <w:szCs w:val="21"/>
          <w:highlight w:val="none"/>
        </w:rPr>
        <w:t>采购项目（</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为</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）进行采购，于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日通过公开招标，经评标委员会评定乙方</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为中标单位。为了保护甲、乙双方合法权益，根据《中华人民共和国</w:t>
      </w:r>
      <w:r>
        <w:rPr>
          <w:rFonts w:hint="eastAsia" w:eastAsia="宋体"/>
          <w:color w:val="auto"/>
          <w:highlight w:val="none"/>
          <w:lang w:eastAsia="zh-CN"/>
        </w:rPr>
        <w:t>民法典</w:t>
      </w:r>
      <w:r>
        <w:rPr>
          <w:rFonts w:hint="eastAsia" w:ascii="宋体" w:hAnsi="宋体" w:eastAsia="宋体"/>
          <w:color w:val="auto"/>
          <w:sz w:val="21"/>
          <w:szCs w:val="21"/>
          <w:highlight w:val="none"/>
        </w:rPr>
        <w:t>》，在平等自愿的基础上，按照下面的条款和条件，签署本合同。</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第一条 合同项目</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1、项目名称：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                   。</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第二条 合同组成</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highlight w:val="none"/>
        </w:rPr>
      </w:pPr>
      <w:bookmarkStart w:id="87" w:name="_Toc86481558"/>
      <w:r>
        <w:rPr>
          <w:rFonts w:hint="eastAsia" w:ascii="宋体" w:hAnsi="宋体" w:eastAsia="宋体"/>
          <w:b/>
          <w:color w:val="auto"/>
          <w:sz w:val="21"/>
          <w:szCs w:val="21"/>
          <w:highlight w:val="none"/>
        </w:rPr>
        <w:t>第三条 服务内容、标准及要求</w:t>
      </w:r>
    </w:p>
    <w:p>
      <w:pPr>
        <w:spacing w:after="0" w:line="360" w:lineRule="auto"/>
        <w:rPr>
          <w:rFonts w:ascii="宋体" w:hAnsi="宋体" w:eastAsia="宋体" w:cs="仿宋"/>
          <w:color w:val="auto"/>
          <w:sz w:val="21"/>
          <w:szCs w:val="21"/>
          <w:highlight w:val="none"/>
          <w:u w:val="single"/>
          <w:shd w:val="clear" w:color="auto" w:fill="FFFFFF"/>
        </w:rPr>
      </w:pPr>
      <w:r>
        <w:rPr>
          <w:rFonts w:hint="eastAsia" w:ascii="宋体" w:hAnsi="宋体" w:eastAsia="宋体" w:cs="仿宋"/>
          <w:color w:val="auto"/>
          <w:sz w:val="21"/>
          <w:szCs w:val="21"/>
          <w:highlight w:val="none"/>
          <w:shd w:val="clear" w:color="auto" w:fill="FFFFFF"/>
        </w:rPr>
        <w:t>1、采购内容：</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2、采购标准：</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3、采购要求：</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第四条 价格</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2、合同总价：（人民币）大写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3、本合同价为固定不变价。</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第五条 服务期限及地点</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1、服务期：  年，合同生效之日自       年  月  日至     年  月  日止。</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2、服务地点：              或甲方指定地点。</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第六条 付款方式</w:t>
      </w:r>
    </w:p>
    <w:p>
      <w:pPr>
        <w:pStyle w:val="16"/>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1、本合同的付款方式为：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16"/>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第七条 验收方式</w:t>
      </w:r>
    </w:p>
    <w:p>
      <w:pPr>
        <w:pStyle w:val="16"/>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1、验收应在甲乙双方共同参加下进行，依据招标文件及本合同的有关规定制定的方案进行验收，并按国家有关规定、规范进行。</w:t>
      </w:r>
    </w:p>
    <w:p>
      <w:pPr>
        <w:pStyle w:val="16"/>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2、甲方组织项目验收小组按国家有关规定、规范进行验收，必要时邀请相关专业人员或机构参与验收。</w:t>
      </w:r>
    </w:p>
    <w:p>
      <w:pPr>
        <w:pStyle w:val="16"/>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第八条 税和关税</w:t>
      </w:r>
    </w:p>
    <w:p>
      <w:pPr>
        <w:pStyle w:val="16"/>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1、中国政府根据现行税法对甲方征收的与本合同有关的一切税费均应由甲方承担。</w:t>
      </w:r>
    </w:p>
    <w:p>
      <w:pPr>
        <w:pStyle w:val="16"/>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2、中国政府根据现行税法规定对乙方或其雇员征收的与本合同有关的一切税费应由乙方承担。</w:t>
      </w:r>
    </w:p>
    <w:p>
      <w:pPr>
        <w:pStyle w:val="16"/>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第九条 其它约定</w:t>
      </w:r>
    </w:p>
    <w:p>
      <w:pPr>
        <w:spacing w:after="0"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1</w:t>
      </w:r>
      <w:r>
        <w:rPr>
          <w:rFonts w:hint="eastAsia" w:ascii="宋体" w:hAnsi="宋体" w:eastAsia="宋体"/>
          <w:color w:val="auto"/>
          <w:sz w:val="21"/>
          <w:szCs w:val="21"/>
          <w:highlight w:val="none"/>
        </w:rPr>
        <w:t>、严禁转包，未经甲方书面同意不得分包。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2、乙方全部工作人员，须符合东莞市政府用工标准要求。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第十条 违约责任</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%的违约金。</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2、由于乙方的原因，导致双方签订的合同终止，乙方因此而遭受的损失，将由乙方独立承担，甲方对此不负任何责任，也不作任何赔偿。</w:t>
      </w:r>
    </w:p>
    <w:bookmarkEnd w:id="87"/>
    <w:p>
      <w:pPr>
        <w:spacing w:after="0" w:line="360" w:lineRule="auto"/>
        <w:ind w:firstLine="422" w:firstLineChars="200"/>
        <w:rPr>
          <w:rFonts w:ascii="宋体" w:hAnsi="宋体" w:eastAsia="宋体"/>
          <w:b/>
          <w:color w:val="auto"/>
          <w:sz w:val="21"/>
          <w:szCs w:val="21"/>
          <w:highlight w:val="none"/>
        </w:rPr>
      </w:pPr>
      <w:bookmarkStart w:id="88" w:name="_Toc86481570"/>
      <w:r>
        <w:rPr>
          <w:rFonts w:hint="eastAsia" w:ascii="宋体" w:hAnsi="宋体" w:eastAsia="宋体"/>
          <w:b/>
          <w:color w:val="auto"/>
          <w:sz w:val="21"/>
          <w:szCs w:val="21"/>
          <w:highlight w:val="none"/>
        </w:rPr>
        <w:t>第十一条 争议的解决</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2、本合同发生的诉讼管辖地为东莞市有管辖权的法院。</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宋体"/>
          <w:color w:val="auto"/>
          <w:sz w:val="21"/>
          <w:szCs w:val="21"/>
          <w:highlight w:val="none"/>
        </w:rPr>
        <w:t>4、本合同按照中华人民共和国的法律进行解释</w:t>
      </w:r>
      <w:r>
        <w:rPr>
          <w:rFonts w:hint="eastAsia" w:ascii="宋体" w:hAnsi="宋体" w:eastAsia="宋体" w:cs="仿宋"/>
          <w:color w:val="auto"/>
          <w:sz w:val="21"/>
          <w:szCs w:val="21"/>
          <w:highlight w:val="none"/>
          <w:shd w:val="clear" w:color="auto" w:fill="FFFFFF"/>
        </w:rPr>
        <w:t>。</w:t>
      </w:r>
    </w:p>
    <w:p>
      <w:pPr>
        <w:spacing w:after="0" w:line="360" w:lineRule="auto"/>
        <w:ind w:firstLine="422" w:firstLineChars="200"/>
        <w:rPr>
          <w:rFonts w:ascii="宋体" w:hAnsi="宋体" w:eastAsia="宋体"/>
          <w:b/>
          <w:color w:val="auto"/>
          <w:sz w:val="21"/>
          <w:szCs w:val="21"/>
          <w:highlight w:val="none"/>
        </w:rPr>
      </w:pPr>
      <w:bookmarkStart w:id="89" w:name="_Toc86481569"/>
      <w:r>
        <w:rPr>
          <w:rFonts w:hint="eastAsia" w:ascii="宋体" w:hAnsi="宋体" w:eastAsia="宋体"/>
          <w:b/>
          <w:color w:val="auto"/>
          <w:sz w:val="21"/>
          <w:szCs w:val="21"/>
          <w:highlight w:val="none"/>
        </w:rPr>
        <w:t>第十二条 合同生效</w:t>
      </w:r>
      <w:bookmarkEnd w:id="89"/>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第十三条 其它</w:t>
      </w:r>
      <w:bookmarkEnd w:id="88"/>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本合同合计   页A4纸张，缺页之合同为无效合同。</w:t>
      </w:r>
    </w:p>
    <w:p>
      <w:pPr>
        <w:spacing w:after="0" w:line="360" w:lineRule="auto"/>
        <w:rPr>
          <w:rFonts w:hint="eastAsia" w:ascii="宋体" w:hAnsi="宋体" w:eastAsia="宋体"/>
          <w:color w:val="auto"/>
          <w:sz w:val="21"/>
          <w:szCs w:val="21"/>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甲方（盖章）：                      乙方（盖章）：</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法定代表(签字)：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法定代表(签字)：</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地址：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 地址：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电话：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 电话：</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传真：</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传真：</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开户银行：</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 xml:space="preserve">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开户银行：</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账号：                            </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 xml:space="preserve"> 账号：</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签约时间：</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签约地点：</w:t>
      </w:r>
    </w:p>
    <w:p>
      <w:pPr>
        <w:rPr>
          <w:rFonts w:hint="eastAsia" w:ascii="宋体" w:hAnsi="宋体" w:eastAsia="宋体"/>
          <w:b/>
          <w:color w:val="auto"/>
          <w:sz w:val="21"/>
          <w:szCs w:val="21"/>
          <w:highlight w:val="none"/>
        </w:rPr>
      </w:pP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此仅为合同书样本，中标人需根据实际情况和甲方签订相应的合同！</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br w:type="page"/>
      </w:r>
    </w:p>
    <w:p>
      <w:pPr>
        <w:pStyle w:val="3"/>
        <w:spacing w:before="0" w:after="0" w:line="240" w:lineRule="auto"/>
        <w:rPr>
          <w:color w:val="auto"/>
          <w:sz w:val="28"/>
          <w:szCs w:val="28"/>
          <w:highlight w:val="none"/>
        </w:rPr>
      </w:pPr>
      <w:bookmarkStart w:id="90" w:name="_Toc3566"/>
      <w:r>
        <w:rPr>
          <w:rFonts w:hint="eastAsia"/>
          <w:color w:val="auto"/>
          <w:sz w:val="28"/>
          <w:szCs w:val="28"/>
          <w:highlight w:val="none"/>
        </w:rPr>
        <w:t>第六部分  附件－投标文件格式</w:t>
      </w:r>
      <w:bookmarkEnd w:id="90"/>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91" w:name="_Toc15661"/>
      <w:r>
        <w:rPr>
          <w:rFonts w:hint="eastAsia" w:ascii="宋体" w:hAnsi="宋体" w:eastAsia="宋体"/>
          <w:color w:val="auto"/>
          <w:sz w:val="21"/>
          <w:szCs w:val="21"/>
          <w:highlight w:val="none"/>
        </w:rPr>
        <w:t>附件1.投标文件目录</w:t>
      </w:r>
      <w:bookmarkEnd w:id="91"/>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格式自理。</w:t>
      </w: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1、投标人制作的投标文件应当具备目录。</w:t>
      </w:r>
      <w:r>
        <w:rPr>
          <w:rFonts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92" w:name="_Toc13312"/>
      <w:r>
        <w:rPr>
          <w:rFonts w:hint="eastAsia" w:ascii="宋体" w:hAnsi="宋体" w:eastAsia="宋体"/>
          <w:color w:val="auto"/>
          <w:sz w:val="21"/>
          <w:szCs w:val="21"/>
          <w:highlight w:val="none"/>
        </w:rPr>
        <w:t>附件1-1 评分标准索引表</w:t>
      </w:r>
      <w:bookmarkEnd w:id="92"/>
    </w:p>
    <w:p>
      <w:pPr>
        <w:adjustRightInd/>
        <w:snapToGrid/>
        <w:spacing w:line="276" w:lineRule="auto"/>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评分标准索引表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评审项目</w:t>
            </w:r>
          </w:p>
        </w:tc>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评分细则</w:t>
            </w:r>
          </w:p>
        </w:tc>
        <w:tc>
          <w:tcPr>
            <w:tcW w:w="1705"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分值</w:t>
            </w:r>
          </w:p>
        </w:tc>
        <w:tc>
          <w:tcPr>
            <w:tcW w:w="1705"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highlight w:val="none"/>
              </w:rPr>
            </w:pPr>
            <w:r>
              <w:rPr>
                <w:rFonts w:hint="eastAsia" w:ascii="宋体" w:hAnsi="宋体" w:eastAsia="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highlight w:val="none"/>
              </w:rPr>
            </w:pPr>
            <w:r>
              <w:rPr>
                <w:rFonts w:hint="eastAsia" w:ascii="宋体" w:hAnsi="宋体" w:eastAsia="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keepNext w:val="0"/>
        <w:keepLines w:val="0"/>
        <w:pageBreakBefore w:val="0"/>
        <w:widowControl/>
        <w:numPr>
          <w:ilvl w:val="0"/>
          <w:numId w:val="8"/>
        </w:numPr>
        <w:kinsoku/>
        <w:wordWrap/>
        <w:overflowPunct/>
        <w:topLinePunct w:val="0"/>
        <w:autoSpaceDE/>
        <w:autoSpaceDN/>
        <w:bidi w:val="0"/>
        <w:adjustRightInd w:val="0"/>
        <w:snapToGrid w:val="0"/>
        <w:ind w:left="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该表格为参考格式，投标人可按实际情况自行制订评分标准索引表。</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0"/>
        <w:textAlignment w:val="auto"/>
        <w:rPr>
          <w:color w:val="auto"/>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93" w:name="_Toc9857"/>
      <w:r>
        <w:rPr>
          <w:rFonts w:hint="eastAsia" w:ascii="宋体" w:hAnsi="宋体" w:eastAsia="宋体"/>
          <w:color w:val="auto"/>
          <w:sz w:val="21"/>
          <w:szCs w:val="21"/>
          <w:highlight w:val="none"/>
        </w:rPr>
        <w:t>附件2.投标书格式</w:t>
      </w:r>
      <w:bookmarkEnd w:id="93"/>
    </w:p>
    <w:p>
      <w:pPr>
        <w:jc w:val="center"/>
        <w:rPr>
          <w:rFonts w:ascii="宋体" w:hAnsi="宋体" w:eastAsia="宋体"/>
          <w:color w:val="auto"/>
          <w:sz w:val="21"/>
          <w:szCs w:val="21"/>
          <w:highlight w:val="none"/>
        </w:rPr>
      </w:pPr>
      <w:r>
        <w:rPr>
          <w:rFonts w:hint="eastAsia" w:ascii="黑体" w:eastAsia="黑体"/>
          <w:color w:val="auto"/>
          <w:sz w:val="32"/>
          <w:szCs w:val="32"/>
          <w:highlight w:val="none"/>
        </w:rPr>
        <w:t>投标书</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spacing w:after="0" w:line="360" w:lineRule="auto"/>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根据贵方为</w:t>
      </w:r>
      <w:r>
        <w:rPr>
          <w:rFonts w:hint="eastAsia" w:ascii="宋体" w:hAnsi="宋体" w:eastAsia="宋体"/>
          <w:color w:val="auto"/>
          <w:sz w:val="21"/>
          <w:szCs w:val="21"/>
          <w:highlight w:val="none"/>
          <w:u w:val="single"/>
        </w:rPr>
        <w:t>（项目名称）（</w:t>
      </w:r>
      <w:r>
        <w:rPr>
          <w:rFonts w:hint="eastAsia" w:ascii="宋体" w:hAnsi="宋体" w:eastAsia="宋体"/>
          <w:color w:val="auto"/>
          <w:sz w:val="21"/>
          <w:szCs w:val="21"/>
          <w:highlight w:val="none"/>
          <w:u w:val="single"/>
          <w:lang w:eastAsia="zh-CN"/>
        </w:rPr>
        <w:t>采购项目编号</w:t>
      </w:r>
      <w:r>
        <w:rPr>
          <w:rFonts w:hint="eastAsia" w:ascii="宋体" w:hAnsi="宋体" w:eastAsia="宋体"/>
          <w:color w:val="auto"/>
          <w:sz w:val="21"/>
          <w:szCs w:val="21"/>
          <w:highlight w:val="none"/>
          <w:u w:val="single"/>
        </w:rPr>
        <w:t>）</w:t>
      </w:r>
      <w:r>
        <w:rPr>
          <w:rFonts w:hint="eastAsia" w:ascii="宋体" w:hAnsi="宋体" w:eastAsia="宋体"/>
          <w:color w:val="auto"/>
          <w:sz w:val="21"/>
          <w:szCs w:val="21"/>
          <w:highlight w:val="none"/>
        </w:rPr>
        <w:t>项目招标公告/招标邀请，签字代表</w:t>
      </w:r>
      <w:r>
        <w:rPr>
          <w:rFonts w:hint="eastAsia" w:ascii="宋体" w:hAnsi="宋体" w:eastAsia="宋体"/>
          <w:color w:val="auto"/>
          <w:sz w:val="21"/>
          <w:szCs w:val="21"/>
          <w:highlight w:val="none"/>
          <w:u w:val="single"/>
        </w:rPr>
        <w:t>（姓名、职务）</w:t>
      </w:r>
      <w:r>
        <w:rPr>
          <w:rFonts w:hint="eastAsia" w:ascii="宋体" w:hAnsi="宋体" w:eastAsia="宋体"/>
          <w:color w:val="auto"/>
          <w:sz w:val="21"/>
          <w:szCs w:val="21"/>
          <w:highlight w:val="none"/>
        </w:rPr>
        <w:t>经正式授权并代表投标人</w:t>
      </w:r>
      <w:r>
        <w:rPr>
          <w:rFonts w:hint="eastAsia" w:ascii="宋体" w:hAnsi="宋体" w:eastAsia="宋体"/>
          <w:color w:val="auto"/>
          <w:sz w:val="21"/>
          <w:szCs w:val="21"/>
          <w:highlight w:val="none"/>
          <w:u w:val="single"/>
        </w:rPr>
        <w:t>（投标人名称、地址）</w:t>
      </w:r>
      <w:r>
        <w:rPr>
          <w:rFonts w:hint="eastAsia" w:ascii="宋体" w:hAnsi="宋体" w:eastAsia="宋体"/>
          <w:color w:val="auto"/>
          <w:sz w:val="21"/>
          <w:szCs w:val="21"/>
          <w:highlight w:val="none"/>
        </w:rPr>
        <w:t>提交投标文件及“开标文件”：</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在此，签字代表宣布同意如下：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我方将按招标文件的规定履行合同责任和义务。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highlight w:val="none"/>
        </w:rPr>
        <w:t xml:space="preserve">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本投标有效期为自开标日起</w:t>
      </w:r>
      <w:r>
        <w:rPr>
          <w:rFonts w:hint="eastAsia" w:ascii="宋体" w:hAnsi="宋体" w:eastAsia="宋体"/>
          <w:color w:val="auto"/>
          <w:sz w:val="21"/>
          <w:szCs w:val="21"/>
          <w:highlight w:val="none"/>
          <w:u w:val="single"/>
          <w:lang w:val="en-US" w:eastAsia="zh-CN"/>
        </w:rPr>
        <w:t xml:space="preserve">    </w:t>
      </w:r>
      <w:r>
        <w:rPr>
          <w:rFonts w:hint="eastAsia" w:ascii="宋体" w:hAnsi="宋体" w:eastAsia="宋体"/>
          <w:color w:val="auto"/>
          <w:sz w:val="21"/>
          <w:szCs w:val="21"/>
          <w:highlight w:val="none"/>
        </w:rPr>
        <w:t xml:space="preserve">个日历日。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我方保证遵守投标人须知中关于没收投标保证金的规定。</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我方承诺，与买方聘请的为此项目提供咨询服务的公司及任何附属机构均无关联，我方不是买方的附属机构。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我方承诺，我方具备</w:t>
      </w:r>
      <w:r>
        <w:rPr>
          <w:rFonts w:hint="eastAsia" w:ascii="宋体" w:hAnsi="宋体" w:eastAsia="宋体"/>
          <w:color w:val="auto"/>
          <w:sz w:val="21"/>
          <w:szCs w:val="21"/>
          <w:highlight w:val="none"/>
          <w:lang w:eastAsia="zh-CN"/>
        </w:rPr>
        <w:t>投标人邀请中所要求的</w:t>
      </w:r>
      <w:r>
        <w:rPr>
          <w:rFonts w:hint="eastAsia" w:ascii="宋体" w:hAnsi="宋体" w:eastAsia="宋体"/>
          <w:color w:val="auto"/>
          <w:sz w:val="21"/>
          <w:szCs w:val="21"/>
          <w:highlight w:val="none"/>
        </w:rPr>
        <w:t>资格条件，已清楚招标文件所有要求及有关规定；并承诺参加本次采购活动中，如有违法、违规、弄虚作假行为，所造成的损失、不良后果及法律责任，一律由我方承担；</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我方同意提供按照贵方可能要求的与其投标有关的一切数据或资料。</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与本投标有关的一切正式信函请寄：</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地址：　　　　　　　　　　　　　　　　　　　传真：</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电话/移动电话：　　　　　　　　　　　　　　　电子函件：</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投标人代表签字：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投标人名称（全称）：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投标人盖章：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投标人开户银行（全称）：</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投标人银行帐号：</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pStyle w:val="5"/>
        <w:widowControl w:val="0"/>
        <w:overflowPunct w:val="0"/>
        <w:spacing w:before="0" w:after="0" w:line="240" w:lineRule="auto"/>
        <w:rPr>
          <w:rFonts w:ascii="宋体" w:hAnsi="宋体" w:eastAsia="宋体"/>
          <w:color w:val="auto"/>
          <w:sz w:val="21"/>
          <w:szCs w:val="21"/>
          <w:highlight w:val="none"/>
        </w:rPr>
      </w:pPr>
      <w:bookmarkStart w:id="94" w:name="_Toc23548"/>
      <w:r>
        <w:rPr>
          <w:rFonts w:hint="eastAsia" w:ascii="宋体" w:hAnsi="宋体" w:eastAsia="宋体"/>
          <w:color w:val="auto"/>
          <w:sz w:val="21"/>
          <w:szCs w:val="21"/>
          <w:highlight w:val="none"/>
        </w:rPr>
        <w:t>附件3.开标一览表格式</w:t>
      </w:r>
      <w:bookmarkEnd w:id="94"/>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spacing w:line="360" w:lineRule="auto"/>
        <w:rPr>
          <w:color w:val="auto"/>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w:t>
      </w:r>
    </w:p>
    <w:tbl>
      <w:tblPr>
        <w:tblStyle w:val="1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8" w:hRule="atLeast"/>
          <w:jc w:val="center"/>
        </w:trPr>
        <w:tc>
          <w:tcPr>
            <w:tcW w:w="2714"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项目名称/包号</w:t>
            </w: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投标总价</w:t>
            </w:r>
          </w:p>
        </w:tc>
        <w:tc>
          <w:tcPr>
            <w:tcW w:w="3262"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714"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highlight w:val="none"/>
              </w:rPr>
            </w:pPr>
          </w:p>
        </w:tc>
        <w:tc>
          <w:tcPr>
            <w:tcW w:w="3085"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highlight w:val="none"/>
              </w:rPr>
            </w:pPr>
          </w:p>
        </w:tc>
        <w:tc>
          <w:tcPr>
            <w:tcW w:w="3262"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highlight w:val="none"/>
              </w:rPr>
            </w:pPr>
          </w:p>
        </w:tc>
      </w:tr>
    </w:tbl>
    <w:p>
      <w:pPr>
        <w:spacing w:after="0" w:line="360" w:lineRule="auto"/>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spacing w:after="0" w:line="360" w:lineRule="auto"/>
        <w:ind w:firstLine="359" w:firstLineChars="171"/>
        <w:rPr>
          <w:rFonts w:ascii="宋体" w:hAnsi="宋体" w:eastAsia="宋体"/>
          <w:color w:val="auto"/>
          <w:sz w:val="21"/>
          <w:szCs w:val="21"/>
          <w:highlight w:val="none"/>
        </w:rPr>
      </w:pPr>
    </w:p>
    <w:p>
      <w:pPr>
        <w:spacing w:after="0" w:line="360" w:lineRule="auto"/>
        <w:ind w:left="391" w:hanging="390" w:hangingChars="186"/>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注：1、投标总价栏须</w:t>
      </w:r>
      <w:r>
        <w:rPr>
          <w:rFonts w:ascii="宋体" w:hAnsi="宋体" w:eastAsia="宋体"/>
          <w:color w:val="auto"/>
          <w:sz w:val="21"/>
          <w:szCs w:val="21"/>
          <w:highlight w:val="none"/>
        </w:rPr>
        <w:t>用</w:t>
      </w:r>
      <w:r>
        <w:rPr>
          <w:rFonts w:hint="eastAsia" w:ascii="宋体" w:hAnsi="宋体" w:eastAsia="宋体"/>
          <w:color w:val="auto"/>
          <w:sz w:val="21"/>
          <w:szCs w:val="21"/>
          <w:highlight w:val="none"/>
        </w:rPr>
        <w:t>大写金额和小写金额两种方式</w:t>
      </w:r>
      <w:r>
        <w:rPr>
          <w:rFonts w:ascii="宋体" w:hAnsi="宋体" w:eastAsia="宋体"/>
          <w:color w:val="auto"/>
          <w:sz w:val="21"/>
          <w:szCs w:val="21"/>
          <w:highlight w:val="none"/>
        </w:rPr>
        <w:t>表示的投标总价</w:t>
      </w:r>
      <w:r>
        <w:rPr>
          <w:rFonts w:hint="eastAsia" w:ascii="宋体" w:hAnsi="宋体" w:eastAsia="宋体"/>
          <w:color w:val="auto"/>
          <w:sz w:val="21"/>
          <w:szCs w:val="21"/>
          <w:highlight w:val="none"/>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3、温馨提示：未按招标文件要求报价、填写开标一览表是导致投标人废标的常见问题，请投标人仔细填写，认真核对。</w:t>
      </w: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95" w:name="_Toc7877"/>
      <w:r>
        <w:rPr>
          <w:rFonts w:hint="eastAsia" w:ascii="宋体" w:hAnsi="宋体" w:eastAsia="宋体"/>
          <w:color w:val="auto"/>
          <w:sz w:val="21"/>
          <w:szCs w:val="21"/>
          <w:highlight w:val="none"/>
        </w:rPr>
        <w:t xml:space="preserve">附件4. </w:t>
      </w:r>
      <w:r>
        <w:rPr>
          <w:rFonts w:hint="eastAsia" w:ascii="宋体" w:hAnsi="宋体" w:eastAsia="宋体" w:cs="Times New Roman"/>
          <w:color w:val="auto"/>
          <w:sz w:val="21"/>
          <w:szCs w:val="21"/>
          <w:highlight w:val="none"/>
        </w:rPr>
        <w:t>投标分项报价表格式</w:t>
      </w:r>
      <w:bookmarkEnd w:id="95"/>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货物（服务）分项报价表</w:t>
      </w:r>
      <w:r>
        <w:rPr>
          <w:rFonts w:hint="eastAsia" w:ascii="宋体" w:hAnsi="宋体" w:eastAsia="宋体"/>
          <w:color w:val="auto"/>
          <w:sz w:val="21"/>
          <w:szCs w:val="21"/>
          <w:highlight w:val="none"/>
        </w:rPr>
        <w:t xml:space="preserve"> </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37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单价</w:t>
            </w:r>
          </w:p>
        </w:tc>
        <w:tc>
          <w:tcPr>
            <w:tcW w:w="1183" w:type="dxa"/>
            <w:vAlign w:val="center"/>
          </w:tcPr>
          <w:p>
            <w:pPr>
              <w:spacing w:before="100" w:beforeAutospacing="1" w:after="100" w:afterAutospacing="1"/>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总价</w:t>
            </w: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tc>
      </w:tr>
    </w:tbl>
    <w:p>
      <w:pPr>
        <w:rPr>
          <w:rFonts w:ascii="宋体" w:hAnsi="宋体" w:eastAsia="宋体" w:cs="宋体"/>
          <w:b/>
          <w:color w:val="auto"/>
          <w:sz w:val="21"/>
          <w:szCs w:val="21"/>
          <w:highlight w:val="none"/>
        </w:rPr>
      </w:pPr>
    </w:p>
    <w:p>
      <w:pP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小型和微型企业（货物、承担的工程或者服务）列价表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8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575" w:type="dxa"/>
            <w:vAlign w:val="center"/>
          </w:tcPr>
          <w:p>
            <w:pPr>
              <w:spacing w:after="0"/>
              <w:ind w:hanging="148"/>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品牌及原产地</w:t>
            </w:r>
          </w:p>
        </w:tc>
        <w:tc>
          <w:tcPr>
            <w:tcW w:w="118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7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972"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060" w:type="dxa"/>
            <w:gridSpan w:val="6"/>
            <w:vAlign w:val="center"/>
          </w:tcPr>
          <w:p>
            <w:pPr>
              <w:spacing w:after="0"/>
              <w:rPr>
                <w:rFonts w:ascii="宋体" w:hAnsi="宋体" w:eastAsia="宋体" w:cs="宋体"/>
                <w:color w:val="auto"/>
                <w:sz w:val="21"/>
                <w:szCs w:val="21"/>
                <w:highlight w:val="none"/>
              </w:rPr>
            </w:pPr>
            <w:r>
              <w:rPr>
                <w:rStyle w:val="36"/>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6"/>
                <w:rFonts w:ascii="宋体" w:hAnsi="宋体" w:eastAsia="宋体" w:cs="宋体"/>
                <w:b/>
                <w:color w:val="auto"/>
                <w:sz w:val="21"/>
                <w:szCs w:val="21"/>
                <w:highlight w:val="none"/>
              </w:rPr>
            </w:pPr>
            <w:r>
              <w:rPr>
                <w:rStyle w:val="36"/>
                <w:rFonts w:hint="eastAsia" w:ascii="宋体" w:hAnsi="宋体" w:eastAsia="宋体" w:cs="宋体"/>
                <w:b/>
                <w:color w:val="auto"/>
                <w:sz w:val="21"/>
                <w:szCs w:val="21"/>
                <w:highlight w:val="none"/>
              </w:rPr>
              <w:t>注：1、投标人在“货物（服务）分项报价表”中的报价内容中，如有属于</w:t>
            </w:r>
            <w:r>
              <w:rPr>
                <w:rFonts w:hint="eastAsia" w:ascii="宋体" w:hAnsi="宋体" w:eastAsia="宋体" w:cs="宋体"/>
                <w:b/>
                <w:color w:val="auto"/>
                <w:sz w:val="21"/>
                <w:szCs w:val="21"/>
                <w:highlight w:val="none"/>
              </w:rPr>
              <w:t>小型和微型企业产品（货物、承担的工程或者服务）的，必须在此表单独列明，否则在计算价格得分时不予以相应的扣除</w:t>
            </w:r>
            <w:r>
              <w:rPr>
                <w:rStyle w:val="36"/>
                <w:rFonts w:hint="eastAsia" w:ascii="宋体" w:hAnsi="宋体" w:eastAsia="宋体" w:cs="宋体"/>
                <w:b/>
                <w:color w:val="auto"/>
                <w:sz w:val="21"/>
                <w:szCs w:val="21"/>
                <w:highlight w:val="none"/>
              </w:rPr>
              <w:t>；</w:t>
            </w:r>
          </w:p>
          <w:p>
            <w:pPr>
              <w:tabs>
                <w:tab w:val="left" w:pos="284"/>
              </w:tabs>
              <w:spacing w:after="0"/>
              <w:rPr>
                <w:rStyle w:val="36"/>
                <w:rFonts w:ascii="宋体" w:hAnsi="宋体" w:eastAsia="宋体" w:cs="宋体"/>
                <w:b/>
                <w:color w:val="auto"/>
                <w:sz w:val="21"/>
                <w:szCs w:val="21"/>
                <w:highlight w:val="none"/>
              </w:rPr>
            </w:pPr>
            <w:r>
              <w:rPr>
                <w:rStyle w:val="36"/>
                <w:rFonts w:hint="eastAsia" w:ascii="宋体" w:hAnsi="宋体" w:eastAsia="宋体" w:cs="宋体"/>
                <w:b/>
                <w:color w:val="auto"/>
                <w:sz w:val="21"/>
                <w:szCs w:val="21"/>
                <w:highlight w:val="none"/>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6"/>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pStyle w:val="26"/>
        <w:spacing w:after="0" w:line="360" w:lineRule="auto"/>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节能产品或环境标志产品列价表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81"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316"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106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1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8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833"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10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266" w:type="dxa"/>
            <w:gridSpan w:val="6"/>
            <w:vAlign w:val="center"/>
          </w:tcPr>
          <w:p>
            <w:pPr>
              <w:spacing w:after="0"/>
              <w:rPr>
                <w:rFonts w:ascii="宋体" w:hAnsi="宋体" w:eastAsia="宋体" w:cs="宋体"/>
                <w:color w:val="auto"/>
                <w:sz w:val="21"/>
                <w:szCs w:val="21"/>
                <w:highlight w:val="none"/>
              </w:rPr>
            </w:pPr>
            <w:r>
              <w:rPr>
                <w:rStyle w:val="36"/>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6"/>
                <w:rFonts w:ascii="宋体" w:hAnsi="宋体" w:eastAsia="宋体" w:cs="宋体"/>
                <w:b/>
                <w:color w:val="auto"/>
                <w:sz w:val="21"/>
                <w:szCs w:val="21"/>
                <w:highlight w:val="none"/>
              </w:rPr>
            </w:pPr>
            <w:r>
              <w:rPr>
                <w:rStyle w:val="36"/>
                <w:rFonts w:hint="eastAsia" w:ascii="宋体" w:hAnsi="宋体" w:eastAsia="宋体" w:cs="宋体"/>
                <w:b/>
                <w:color w:val="auto"/>
                <w:sz w:val="21"/>
                <w:szCs w:val="21"/>
                <w:highlight w:val="none"/>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6"/>
                <w:rFonts w:ascii="宋体" w:hAnsi="宋体" w:eastAsia="宋体" w:cs="宋体"/>
                <w:b/>
                <w:color w:val="auto"/>
                <w:sz w:val="21"/>
                <w:szCs w:val="21"/>
                <w:highlight w:val="none"/>
              </w:rPr>
            </w:pPr>
            <w:r>
              <w:rPr>
                <w:rStyle w:val="36"/>
                <w:rFonts w:hint="eastAsia" w:ascii="宋体" w:hAnsi="宋体" w:eastAsia="宋体" w:cs="宋体"/>
                <w:b/>
                <w:color w:val="auto"/>
                <w:sz w:val="21"/>
                <w:szCs w:val="21"/>
                <w:highlight w:val="none"/>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6"/>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96" w:name="_Toc20013"/>
      <w:r>
        <w:rPr>
          <w:rFonts w:hint="eastAsia" w:ascii="宋体" w:hAnsi="宋体" w:eastAsia="宋体"/>
          <w:color w:val="auto"/>
          <w:sz w:val="21"/>
          <w:szCs w:val="21"/>
          <w:highlight w:val="none"/>
        </w:rPr>
        <w:t>附件5. 法定代表人证明书格式</w:t>
      </w:r>
      <w:bookmarkEnd w:id="96"/>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29"/>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pStyle w:val="29"/>
        <w:spacing w:line="420" w:lineRule="atLeast"/>
        <w:ind w:firstLine="433"/>
        <w:rPr>
          <w:rFonts w:ascii="宋体" w:eastAsia="宋体"/>
          <w:color w:val="auto"/>
          <w:sz w:val="21"/>
          <w:szCs w:val="21"/>
          <w:highlight w:val="none"/>
        </w:rPr>
      </w:pPr>
    </w:p>
    <w:p>
      <w:pPr>
        <w:pStyle w:val="29"/>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29"/>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29"/>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29"/>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9"/>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r>
        <w:rPr>
          <w:rFonts w:hint="eastAsia" w:ascii="宋体" w:eastAsia="宋体"/>
          <w:color w:val="auto"/>
          <w:sz w:val="21"/>
          <w:szCs w:val="21"/>
          <w:highlight w:val="none"/>
          <w:u w:val="single"/>
        </w:rPr>
        <w:t xml:space="preserve">                                      </w:t>
      </w:r>
    </w:p>
    <w:p>
      <w:pPr>
        <w:pStyle w:val="29"/>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性别：</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年龄：</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9"/>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（投标人名称）的法定代表人。</w:t>
      </w:r>
    </w:p>
    <w:p>
      <w:pPr>
        <w:spacing w:line="420" w:lineRule="atLeas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特此证明。</w:t>
      </w:r>
    </w:p>
    <w:p>
      <w:pPr>
        <w:pStyle w:val="29"/>
        <w:spacing w:line="500" w:lineRule="atLeast"/>
        <w:ind w:firstLine="3517" w:firstLineChars="1675"/>
        <w:rPr>
          <w:rFonts w:ascii="宋体" w:eastAsia="宋体"/>
          <w:color w:val="auto"/>
          <w:sz w:val="21"/>
          <w:szCs w:val="21"/>
          <w:highlight w:val="none"/>
        </w:rPr>
      </w:pP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r>
        <w:rPr>
          <w:rFonts w:hint="eastAsia" w:ascii="宋体" w:eastAsia="宋体"/>
          <w:color w:val="auto"/>
          <w:sz w:val="21"/>
          <w:szCs w:val="21"/>
          <w:highlight w:val="none"/>
          <w:u w:val="single"/>
        </w:rPr>
        <w:t xml:space="preserve">               </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29"/>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r>
        <w:rPr>
          <w:rFonts w:hint="eastAsia" w:ascii="宋体" w:eastAsia="宋体"/>
          <w:color w:val="auto"/>
          <w:sz w:val="21"/>
          <w:szCs w:val="21"/>
          <w:highlight w:val="none"/>
          <w:u w:val="single"/>
        </w:rPr>
        <w:t xml:space="preserve">                              </w:t>
      </w:r>
    </w:p>
    <w:p>
      <w:pPr>
        <w:pStyle w:val="29"/>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ind w:firstLine="420" w:firstLineChars="200"/>
        <w:rPr>
          <w:rFonts w:ascii="宋体" w:hAnsi="宋体" w:eastAsia="宋体"/>
          <w:color w:val="auto"/>
          <w:sz w:val="21"/>
          <w:szCs w:val="21"/>
          <w:highlight w:val="none"/>
        </w:rPr>
      </w:pPr>
    </w:p>
    <w:p>
      <w:pPr>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注：法定代表人身份证明书需附法人代表身份证复印件。</w:t>
      </w:r>
    </w:p>
    <w:tbl>
      <w:tblPr>
        <w:tblStyle w:val="18"/>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9"/>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29"/>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5"/>
        <w:widowControl w:val="0"/>
        <w:overflowPunct w:val="0"/>
        <w:spacing w:before="0" w:after="0" w:line="240" w:lineRule="auto"/>
        <w:rPr>
          <w:color w:val="auto"/>
          <w:highlight w:val="none"/>
        </w:rPr>
      </w:pPr>
      <w:bookmarkStart w:id="97" w:name="_Toc13402"/>
      <w:r>
        <w:rPr>
          <w:rFonts w:hint="eastAsia" w:ascii="宋体" w:hAnsi="宋体" w:eastAsia="宋体"/>
          <w:color w:val="auto"/>
          <w:sz w:val="21"/>
          <w:szCs w:val="21"/>
          <w:highlight w:val="none"/>
        </w:rPr>
        <w:t>附件6.法定代表人授权书格式</w:t>
      </w:r>
      <w:bookmarkEnd w:id="97"/>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29"/>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pStyle w:val="29"/>
        <w:spacing w:line="420" w:lineRule="atLeast"/>
        <w:ind w:firstLine="433"/>
        <w:rPr>
          <w:rFonts w:ascii="宋体" w:eastAsia="宋体"/>
          <w:color w:val="auto"/>
          <w:sz w:val="21"/>
          <w:szCs w:val="21"/>
          <w:highlight w:val="none"/>
        </w:rPr>
      </w:pPr>
    </w:p>
    <w:p>
      <w:pPr>
        <w:spacing w:after="0" w:line="360" w:lineRule="auto"/>
        <w:ind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本授权书声明：注册于</w:t>
      </w:r>
      <w:r>
        <w:rPr>
          <w:rFonts w:hint="eastAsia" w:ascii="宋体" w:hAnsi="宋体" w:eastAsia="宋体" w:cs="Times New Roman"/>
          <w:color w:val="auto"/>
          <w:sz w:val="21"/>
          <w:szCs w:val="21"/>
          <w:highlight w:val="none"/>
          <w:u w:val="single"/>
        </w:rPr>
        <w:t>（国家或地区的名称）</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（法定代表人姓名、职务）</w:t>
      </w:r>
      <w:r>
        <w:rPr>
          <w:rFonts w:hint="eastAsia" w:ascii="宋体" w:hAnsi="宋体" w:eastAsia="宋体" w:cs="Times New Roman"/>
          <w:color w:val="auto"/>
          <w:sz w:val="21"/>
          <w:szCs w:val="21"/>
          <w:highlight w:val="none"/>
        </w:rPr>
        <w:t>代表本单位授权</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（被授权人的姓名、职务）</w:t>
      </w:r>
      <w:r>
        <w:rPr>
          <w:rFonts w:hint="eastAsia" w:ascii="宋体" w:hAnsi="宋体" w:eastAsia="宋体" w:cs="Times New Roman"/>
          <w:color w:val="auto"/>
          <w:sz w:val="21"/>
          <w:szCs w:val="21"/>
          <w:highlight w:val="none"/>
        </w:rPr>
        <w:t>为本单位的合法代理人，就</w:t>
      </w:r>
      <w:r>
        <w:rPr>
          <w:rFonts w:hint="eastAsia" w:ascii="宋体" w:hAnsi="宋体" w:eastAsia="宋体" w:cs="Times New Roman"/>
          <w:color w:val="auto"/>
          <w:sz w:val="21"/>
          <w:szCs w:val="21"/>
          <w:highlight w:val="none"/>
          <w:u w:val="single"/>
        </w:rPr>
        <w:t>（项目名称）</w:t>
      </w:r>
      <w:r>
        <w:rPr>
          <w:rFonts w:hint="eastAsia" w:ascii="宋体" w:hAnsi="宋体" w:eastAsia="宋体" w:cs="Times New Roman"/>
          <w:color w:val="auto"/>
          <w:sz w:val="21"/>
          <w:szCs w:val="21"/>
          <w:highlight w:val="none"/>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本授权书于</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日签字生效，特此声明。</w:t>
      </w:r>
    </w:p>
    <w:p>
      <w:pPr>
        <w:pStyle w:val="29"/>
        <w:spacing w:line="500" w:lineRule="atLeast"/>
        <w:ind w:firstLine="3517" w:firstLineChars="1675"/>
        <w:rPr>
          <w:rFonts w:ascii="宋体" w:eastAsia="宋体"/>
          <w:color w:val="auto"/>
          <w:sz w:val="21"/>
          <w:szCs w:val="21"/>
          <w:highlight w:val="none"/>
        </w:rPr>
      </w:pP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9"/>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w:t>
      </w:r>
    </w:p>
    <w:p>
      <w:pPr>
        <w:pStyle w:val="29"/>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29"/>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29"/>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9"/>
        <w:spacing w:line="460" w:lineRule="exact"/>
        <w:ind w:firstLine="433"/>
        <w:rPr>
          <w:rFonts w:ascii="宋体" w:eastAsia="宋体"/>
          <w:color w:val="auto"/>
          <w:sz w:val="21"/>
          <w:szCs w:val="21"/>
          <w:highlight w:val="none"/>
        </w:rPr>
      </w:pPr>
    </w:p>
    <w:p>
      <w:pPr>
        <w:ind w:firstLine="420" w:firstLineChars="200"/>
        <w:rPr>
          <w:rFonts w:eastAsia="宋体"/>
          <w:color w:val="auto"/>
          <w:highlight w:val="none"/>
        </w:rPr>
      </w:pPr>
      <w:r>
        <w:rPr>
          <w:rFonts w:hint="eastAsia" w:ascii="宋体" w:hAnsi="宋体" w:eastAsia="宋体"/>
          <w:color w:val="auto"/>
          <w:sz w:val="21"/>
          <w:szCs w:val="21"/>
          <w:highlight w:val="none"/>
        </w:rPr>
        <w:t>须附：被授权人身份证复印件。</w:t>
      </w:r>
    </w:p>
    <w:tbl>
      <w:tblPr>
        <w:tblStyle w:val="18"/>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9"/>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29"/>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98" w:name="_Toc22486"/>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99" w:name="_Toc20880"/>
      <w:r>
        <w:rPr>
          <w:rFonts w:hint="eastAsia" w:ascii="宋体" w:hAnsi="宋体" w:eastAsia="宋体"/>
          <w:color w:val="auto"/>
          <w:sz w:val="21"/>
          <w:szCs w:val="21"/>
          <w:highlight w:val="none"/>
        </w:rPr>
        <w:t>附件7.资格申明</w:t>
      </w:r>
      <w:bookmarkEnd w:id="99"/>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29"/>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我方</w:t>
      </w:r>
      <w:r>
        <w:rPr>
          <w:rFonts w:ascii="宋体" w:hAnsi="宋体" w:eastAsia="宋体"/>
          <w:color w:val="auto"/>
          <w:sz w:val="21"/>
          <w:szCs w:val="21"/>
          <w:highlight w:val="none"/>
        </w:rPr>
        <w:t>愿响应</w:t>
      </w:r>
      <w:r>
        <w:rPr>
          <w:rFonts w:hint="eastAsia" w:ascii="宋体" w:hAnsi="宋体" w:eastAsia="宋体"/>
          <w:color w:val="auto"/>
          <w:sz w:val="21"/>
          <w:szCs w:val="21"/>
          <w:highlight w:val="none"/>
        </w:rPr>
        <w:t>贵</w:t>
      </w:r>
      <w:r>
        <w:rPr>
          <w:rFonts w:ascii="宋体" w:hAnsi="宋体" w:eastAsia="宋体"/>
          <w:color w:val="auto"/>
          <w:sz w:val="21"/>
          <w:szCs w:val="21"/>
          <w:highlight w:val="none"/>
        </w:rPr>
        <w:t>方</w:t>
      </w:r>
      <w:r>
        <w:rPr>
          <w:rFonts w:hint="eastAsia" w:ascii="宋体" w:hAnsi="宋体" w:eastAsia="宋体"/>
          <w:color w:val="auto"/>
          <w:sz w:val="21"/>
          <w:szCs w:val="21"/>
          <w:highlight w:val="none"/>
        </w:rPr>
        <w:t>关于（项目名称）</w:t>
      </w:r>
      <w:r>
        <w:rPr>
          <w:rFonts w:ascii="宋体" w:hAnsi="宋体" w:eastAsia="宋体"/>
          <w:color w:val="auto"/>
          <w:sz w:val="21"/>
          <w:szCs w:val="21"/>
          <w:highlight w:val="none"/>
        </w:rPr>
        <w:t>（</w:t>
      </w:r>
      <w:r>
        <w:rPr>
          <w:rFonts w:hint="eastAsia" w:ascii="宋体" w:hAnsi="宋体" w:eastAsia="宋体"/>
          <w:color w:val="auto"/>
          <w:sz w:val="21"/>
          <w:szCs w:val="21"/>
          <w:highlight w:val="none"/>
          <w:lang w:eastAsia="zh-CN"/>
        </w:rPr>
        <w:t>采购项目编号</w:t>
      </w:r>
      <w:r>
        <w:rPr>
          <w:rFonts w:ascii="宋体" w:hAnsi="宋体" w:eastAsia="宋体"/>
          <w:color w:val="auto"/>
          <w:sz w:val="21"/>
          <w:szCs w:val="21"/>
          <w:highlight w:val="none"/>
        </w:rPr>
        <w:t>）</w:t>
      </w:r>
      <w:r>
        <w:rPr>
          <w:rFonts w:hint="eastAsia" w:ascii="宋体" w:hAnsi="宋体" w:eastAsia="宋体"/>
          <w:color w:val="auto"/>
          <w:sz w:val="21"/>
          <w:szCs w:val="21"/>
          <w:highlight w:val="none"/>
        </w:rPr>
        <w:t>的</w:t>
      </w:r>
      <w:r>
        <w:rPr>
          <w:rFonts w:ascii="宋体" w:hAnsi="宋体" w:eastAsia="宋体"/>
          <w:color w:val="auto"/>
          <w:sz w:val="21"/>
          <w:szCs w:val="21"/>
          <w:highlight w:val="none"/>
        </w:rPr>
        <w:t>投标邀请，参与投标，提供用户需求书中规定的</w:t>
      </w:r>
      <w:r>
        <w:rPr>
          <w:rFonts w:hint="eastAsia" w:ascii="宋体" w:hAnsi="宋体" w:eastAsia="宋体"/>
          <w:color w:val="auto"/>
          <w:sz w:val="21"/>
          <w:szCs w:val="21"/>
          <w:highlight w:val="none"/>
        </w:rPr>
        <w:t>货物及相关服务</w:t>
      </w:r>
      <w:r>
        <w:rPr>
          <w:rFonts w:ascii="宋体" w:hAnsi="宋体" w:eastAsia="宋体"/>
          <w:color w:val="auto"/>
          <w:sz w:val="21"/>
          <w:szCs w:val="21"/>
          <w:highlight w:val="none"/>
        </w:rPr>
        <w:t>，并按招标文件要求提交所附资格文件且声明和保证如下：</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一、我方具备</w:t>
      </w:r>
      <w:r>
        <w:rPr>
          <w:rFonts w:hint="eastAsia" w:ascii="宋体" w:hAnsi="宋体" w:eastAsia="宋体"/>
          <w:color w:val="auto"/>
          <w:sz w:val="21"/>
          <w:szCs w:val="21"/>
          <w:highlight w:val="none"/>
          <w:lang w:eastAsia="zh-CN"/>
        </w:rPr>
        <w:t>投标人邀请中所要求得</w:t>
      </w:r>
      <w:r>
        <w:rPr>
          <w:rFonts w:hint="eastAsia" w:ascii="宋体" w:hAnsi="宋体" w:eastAsia="宋体"/>
          <w:color w:val="auto"/>
          <w:sz w:val="21"/>
          <w:szCs w:val="21"/>
          <w:highlight w:val="none"/>
        </w:rPr>
        <w:t>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w:t>
      </w:r>
      <w:r>
        <w:rPr>
          <w:rFonts w:ascii="宋体" w:hAnsi="宋体" w:eastAsia="宋体"/>
          <w:color w:val="auto"/>
          <w:sz w:val="21"/>
          <w:szCs w:val="21"/>
          <w:highlight w:val="none"/>
        </w:rPr>
        <w:t>我方依法注册，在法律上、财务上和运作上完全独立于（采购人名称）（采购人）及</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r>
        <w:rPr>
          <w:rFonts w:ascii="宋体" w:hAnsi="宋体" w:eastAsia="宋体"/>
          <w:color w:val="auto"/>
          <w:sz w:val="21"/>
          <w:szCs w:val="21"/>
          <w:highlight w:val="none"/>
        </w:rPr>
        <w:t>（采购代理机构）</w:t>
      </w:r>
      <w:r>
        <w:rPr>
          <w:rFonts w:hint="eastAsia" w:ascii="宋体" w:hAnsi="宋体" w:eastAsia="宋体"/>
          <w:color w:val="auto"/>
          <w:sz w:val="21"/>
          <w:szCs w:val="21"/>
          <w:highlight w:val="none"/>
        </w:rPr>
        <w:t>。</w:t>
      </w:r>
    </w:p>
    <w:p>
      <w:pPr>
        <w:pStyle w:val="29"/>
        <w:spacing w:line="500" w:lineRule="atLeast"/>
        <w:ind w:firstLine="3517" w:firstLineChars="1675"/>
        <w:rPr>
          <w:rFonts w:ascii="宋体" w:eastAsia="宋体"/>
          <w:color w:val="auto"/>
          <w:sz w:val="21"/>
          <w:szCs w:val="21"/>
          <w:highlight w:val="none"/>
        </w:rPr>
      </w:pPr>
    </w:p>
    <w:p>
      <w:pPr>
        <w:pStyle w:val="29"/>
        <w:spacing w:line="500" w:lineRule="atLeast"/>
        <w:ind w:firstLine="3517" w:firstLineChars="1675"/>
        <w:rPr>
          <w:rFonts w:ascii="宋体" w:eastAsia="宋体"/>
          <w:color w:val="auto"/>
          <w:sz w:val="21"/>
          <w:szCs w:val="21"/>
          <w:highlight w:val="none"/>
        </w:rPr>
      </w:pPr>
    </w:p>
    <w:p>
      <w:pPr>
        <w:pStyle w:val="29"/>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9"/>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 xml:space="preserve">                        </w:t>
      </w:r>
    </w:p>
    <w:p>
      <w:pPr>
        <w:pStyle w:val="29"/>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9"/>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0" w:name="_Toc17384"/>
      <w:r>
        <w:rPr>
          <w:rFonts w:hint="eastAsia" w:ascii="宋体" w:hAnsi="宋体" w:eastAsia="宋体"/>
          <w:color w:val="auto"/>
          <w:sz w:val="21"/>
          <w:szCs w:val="21"/>
          <w:highlight w:val="none"/>
        </w:rPr>
        <w:t>附件8.营业执照</w:t>
      </w:r>
      <w:bookmarkEnd w:id="100"/>
    </w:p>
    <w:p>
      <w:pPr>
        <w:jc w:val="center"/>
        <w:rPr>
          <w:rFonts w:ascii="黑体" w:eastAsia="黑体"/>
          <w:color w:val="auto"/>
          <w:sz w:val="28"/>
          <w:szCs w:val="28"/>
          <w:highlight w:val="none"/>
        </w:rPr>
      </w:pPr>
      <w:bookmarkStart w:id="101" w:name="_Toc1511"/>
      <w:bookmarkStart w:id="102" w:name="_Toc24210"/>
      <w:bookmarkStart w:id="103" w:name="_Toc17470"/>
      <w:bookmarkStart w:id="104" w:name="_Toc4926"/>
      <w:bookmarkStart w:id="105" w:name="_Toc5919"/>
      <w:r>
        <w:rPr>
          <w:rFonts w:hint="eastAsia" w:ascii="黑体" w:eastAsia="黑体"/>
          <w:color w:val="auto"/>
          <w:sz w:val="28"/>
          <w:szCs w:val="28"/>
          <w:highlight w:val="none"/>
        </w:rPr>
        <w:t>营业执照</w:t>
      </w:r>
      <w:bookmarkEnd w:id="101"/>
      <w:bookmarkEnd w:id="102"/>
      <w:bookmarkEnd w:id="103"/>
      <w:bookmarkEnd w:id="104"/>
      <w:bookmarkEnd w:id="105"/>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6" w:name="_Toc9057"/>
      <w:r>
        <w:rPr>
          <w:rFonts w:hint="eastAsia" w:ascii="宋体" w:hAnsi="宋体" w:eastAsia="宋体"/>
          <w:color w:val="auto"/>
          <w:sz w:val="21"/>
          <w:szCs w:val="21"/>
          <w:highlight w:val="none"/>
        </w:rPr>
        <w:t>附件9.相关资质证明文件</w:t>
      </w:r>
      <w:bookmarkEnd w:id="106"/>
    </w:p>
    <w:p>
      <w:pPr>
        <w:rPr>
          <w:color w:val="auto"/>
          <w:highlight w:val="none"/>
        </w:rPr>
      </w:pPr>
    </w:p>
    <w:p>
      <w:pPr>
        <w:jc w:val="center"/>
        <w:rPr>
          <w:rFonts w:ascii="黑体" w:eastAsia="黑体"/>
          <w:color w:val="auto"/>
          <w:sz w:val="28"/>
          <w:szCs w:val="28"/>
          <w:highlight w:val="none"/>
        </w:rPr>
      </w:pPr>
      <w:bookmarkStart w:id="107" w:name="_Toc13458"/>
      <w:bookmarkStart w:id="108" w:name="_Toc16698"/>
      <w:bookmarkStart w:id="109" w:name="_Toc30307"/>
      <w:bookmarkStart w:id="110" w:name="_Toc9592"/>
      <w:bookmarkStart w:id="111" w:name="_Toc16233"/>
      <w:r>
        <w:rPr>
          <w:rFonts w:hint="eastAsia" w:ascii="黑体" w:eastAsia="黑体"/>
          <w:color w:val="auto"/>
          <w:sz w:val="28"/>
          <w:szCs w:val="28"/>
          <w:highlight w:val="none"/>
        </w:rPr>
        <w:t>相关资质证明文件</w:t>
      </w:r>
      <w:bookmarkEnd w:id="98"/>
      <w:bookmarkEnd w:id="107"/>
      <w:bookmarkEnd w:id="108"/>
      <w:bookmarkEnd w:id="109"/>
      <w:bookmarkEnd w:id="110"/>
      <w:bookmarkEnd w:id="111"/>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12" w:name="_Toc25635"/>
      <w:r>
        <w:rPr>
          <w:rFonts w:hint="eastAsia" w:ascii="宋体" w:hAnsi="宋体" w:eastAsia="宋体"/>
          <w:color w:val="auto"/>
          <w:sz w:val="21"/>
          <w:szCs w:val="21"/>
          <w:highlight w:val="none"/>
        </w:rPr>
        <w:t>附件10. 商务条款偏离表格式</w:t>
      </w:r>
      <w:bookmarkEnd w:id="112"/>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商务条款偏离表</w:t>
      </w:r>
    </w:p>
    <w:tbl>
      <w:tblPr>
        <w:tblStyle w:val="1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62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服务项目名称</w:t>
            </w:r>
          </w:p>
        </w:tc>
        <w:tc>
          <w:tcPr>
            <w:tcW w:w="136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587"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133"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73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p>
    <w:p>
      <w:pPr>
        <w:ind w:left="718" w:hanging="718" w:hangingChars="342"/>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1、投标人应对照招标文件商务要求，说明已对招标文件的商务内容做出了实质性的响应。</w:t>
      </w:r>
    </w:p>
    <w:p>
      <w:pPr>
        <w:spacing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2、商务条款包括但不限于合格投标人资格、付款方式、履约保证金、完工期、售后服务、检验及验收、保险、争端的解决等要求。</w:t>
      </w:r>
    </w:p>
    <w:p>
      <w:pPr>
        <w:spacing w:after="0" w:line="360" w:lineRule="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3、投标人若未填写完整则视为完全响应招标文件的商务要求，因此</w:t>
      </w:r>
      <w:r>
        <w:rPr>
          <w:rFonts w:hint="eastAsia" w:ascii="宋体" w:hAnsi="宋体" w:eastAsia="宋体"/>
          <w:color w:val="auto"/>
          <w:sz w:val="21"/>
          <w:szCs w:val="21"/>
          <w:highlight w:val="none"/>
        </w:rPr>
        <w:t>对投标人投标产生负面影响的，投标人自行承担后果。</w:t>
      </w: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13" w:name="_Toc15430"/>
      <w:r>
        <w:rPr>
          <w:rFonts w:hint="eastAsia" w:ascii="宋体" w:hAnsi="宋体" w:eastAsia="宋体"/>
          <w:color w:val="auto"/>
          <w:sz w:val="21"/>
          <w:szCs w:val="21"/>
          <w:highlight w:val="none"/>
        </w:rPr>
        <w:t>附件11. 技术规格偏离表格式</w:t>
      </w:r>
      <w:bookmarkEnd w:id="113"/>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902"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服务项目名称</w:t>
            </w:r>
          </w:p>
        </w:tc>
        <w:tc>
          <w:tcPr>
            <w:tcW w:w="137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62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23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544"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ind w:firstLine="178" w:firstLineChars="85"/>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1、偏离项中填写“正”、“负”或“无”，说明项中填写原因。</w:t>
      </w:r>
    </w:p>
    <w:p>
      <w:pPr>
        <w:spacing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pPr>
        <w:spacing w:after="0" w:line="360" w:lineRule="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3、投标人若未填写完整则视为完全响应招标文件的技术要求，因此</w:t>
      </w:r>
      <w:r>
        <w:rPr>
          <w:rFonts w:hint="eastAsia" w:ascii="宋体" w:hAnsi="宋体" w:eastAsia="宋体"/>
          <w:color w:val="auto"/>
          <w:sz w:val="21"/>
          <w:szCs w:val="21"/>
          <w:highlight w:val="none"/>
        </w:rPr>
        <w:t>对投标人投标产生负面影响的，投标人自行承担后果。</w:t>
      </w:r>
    </w:p>
    <w:p>
      <w:pPr>
        <w:spacing w:after="0" w:line="360" w:lineRule="auto"/>
        <w:rPr>
          <w:rFonts w:hint="eastAsia" w:ascii="宋体" w:hAnsi="宋体" w:eastAsia="宋体"/>
          <w:color w:val="auto"/>
          <w:sz w:val="21"/>
          <w:szCs w:val="21"/>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rPr>
          <w:rFonts w:ascii="宋体" w:hAnsi="宋体" w:eastAsia="宋体"/>
          <w:color w:val="auto"/>
          <w:sz w:val="21"/>
          <w:szCs w:val="21"/>
          <w:highlight w:val="none"/>
        </w:rPr>
      </w:pPr>
      <w:bookmarkStart w:id="114" w:name="_Toc17691"/>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s="Times New Roman"/>
          <w:b w:val="0"/>
          <w:bCs w:val="0"/>
          <w:color w:val="auto"/>
          <w:sz w:val="32"/>
          <w:szCs w:val="32"/>
          <w:highlight w:val="none"/>
        </w:rPr>
      </w:pPr>
      <w:bookmarkStart w:id="115" w:name="_Toc31958"/>
      <w:r>
        <w:rPr>
          <w:rFonts w:hint="eastAsia" w:ascii="宋体" w:hAnsi="宋体" w:eastAsia="宋体"/>
          <w:color w:val="auto"/>
          <w:sz w:val="21"/>
          <w:szCs w:val="21"/>
          <w:highlight w:val="none"/>
        </w:rPr>
        <w:t>附件12.重要技术参数（▲）响应表</w:t>
      </w:r>
      <w:bookmarkEnd w:id="114"/>
      <w:bookmarkEnd w:id="115"/>
    </w:p>
    <w:p>
      <w:pPr>
        <w:jc w:val="center"/>
        <w:rPr>
          <w:rFonts w:ascii="黑体" w:eastAsia="黑体"/>
          <w:color w:val="auto"/>
          <w:sz w:val="28"/>
          <w:szCs w:val="28"/>
          <w:highlight w:val="none"/>
        </w:rPr>
      </w:pPr>
      <w:bookmarkStart w:id="116" w:name="_Toc4827"/>
      <w:bookmarkStart w:id="117" w:name="_Toc1274"/>
      <w:bookmarkStart w:id="118" w:name="_Toc26078"/>
      <w:bookmarkStart w:id="119" w:name="_Toc18668"/>
      <w:bookmarkStart w:id="120" w:name="_Toc4464"/>
      <w:bookmarkStart w:id="121" w:name="_Toc6080"/>
    </w:p>
    <w:p>
      <w:pPr>
        <w:jc w:val="center"/>
        <w:rPr>
          <w:rFonts w:ascii="黑体" w:eastAsia="黑体"/>
          <w:color w:val="auto"/>
          <w:sz w:val="28"/>
          <w:szCs w:val="28"/>
          <w:highlight w:val="none"/>
        </w:rPr>
      </w:pPr>
      <w:r>
        <w:rPr>
          <w:rFonts w:hint="eastAsia" w:ascii="黑体" w:eastAsia="黑体"/>
          <w:color w:val="auto"/>
          <w:sz w:val="28"/>
          <w:szCs w:val="28"/>
          <w:highlight w:val="none"/>
        </w:rPr>
        <w:t>重要技术参数（▲）响应表</w:t>
      </w:r>
      <w:bookmarkEnd w:id="116"/>
      <w:bookmarkEnd w:id="117"/>
      <w:bookmarkEnd w:id="118"/>
      <w:bookmarkEnd w:id="119"/>
      <w:bookmarkEnd w:id="120"/>
      <w:bookmarkEnd w:id="121"/>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22" w:name="_Toc10045"/>
            <w:bookmarkStart w:id="123" w:name="_Toc27090"/>
            <w:bookmarkStart w:id="124" w:name="_Toc16872"/>
            <w:bookmarkStart w:id="125" w:name="_Toc21739"/>
            <w:bookmarkStart w:id="126" w:name="_Toc2700"/>
            <w:bookmarkStart w:id="127" w:name="_Toc14815"/>
            <w:bookmarkStart w:id="128" w:name="_Toc15903"/>
            <w:bookmarkStart w:id="129" w:name="_Toc12049"/>
            <w:bookmarkStart w:id="130" w:name="_Toc22448"/>
            <w:r>
              <w:rPr>
                <w:rFonts w:hint="eastAsia" w:ascii="宋体" w:hAnsi="宋体" w:eastAsia="宋体" w:cs="Times New Roman"/>
                <w:color w:val="auto"/>
                <w:sz w:val="21"/>
                <w:szCs w:val="21"/>
                <w:highlight w:val="none"/>
              </w:rPr>
              <w:t>技术参数（▲）</w:t>
            </w:r>
            <w:bookmarkEnd w:id="122"/>
            <w:bookmarkEnd w:id="123"/>
            <w:bookmarkEnd w:id="124"/>
            <w:bookmarkEnd w:id="125"/>
            <w:bookmarkEnd w:id="126"/>
            <w:bookmarkEnd w:id="127"/>
            <w:bookmarkEnd w:id="128"/>
            <w:bookmarkEnd w:id="129"/>
            <w:bookmarkEnd w:id="130"/>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31" w:name="_Toc24662"/>
            <w:bookmarkStart w:id="132" w:name="_Toc21809"/>
            <w:bookmarkStart w:id="133" w:name="_Toc32531"/>
            <w:bookmarkStart w:id="134" w:name="_Toc7333"/>
            <w:bookmarkStart w:id="135" w:name="_Toc8312"/>
            <w:bookmarkStart w:id="136" w:name="_Toc22879"/>
            <w:bookmarkStart w:id="137" w:name="_Toc8490"/>
            <w:bookmarkStart w:id="138" w:name="_Toc19251"/>
            <w:bookmarkStart w:id="139" w:name="_Toc27442"/>
            <w:r>
              <w:rPr>
                <w:rFonts w:hint="eastAsia" w:ascii="宋体" w:hAnsi="宋体" w:eastAsia="宋体" w:cs="Times New Roman"/>
                <w:color w:val="auto"/>
                <w:sz w:val="21"/>
                <w:szCs w:val="21"/>
                <w:highlight w:val="none"/>
              </w:rPr>
              <w:t>是否响应</w:t>
            </w:r>
            <w:bookmarkEnd w:id="131"/>
            <w:bookmarkEnd w:id="132"/>
            <w:bookmarkEnd w:id="133"/>
            <w:bookmarkEnd w:id="134"/>
            <w:bookmarkEnd w:id="135"/>
            <w:bookmarkEnd w:id="136"/>
            <w:bookmarkEnd w:id="137"/>
            <w:bookmarkEnd w:id="138"/>
            <w:bookmarkEnd w:id="139"/>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40" w:name="_Toc20820"/>
            <w:bookmarkStart w:id="141" w:name="_Toc20139"/>
            <w:bookmarkStart w:id="142" w:name="_Toc3701"/>
            <w:bookmarkStart w:id="143" w:name="_Toc5563"/>
            <w:bookmarkStart w:id="144" w:name="_Toc1330"/>
            <w:bookmarkStart w:id="145" w:name="_Toc17642"/>
            <w:bookmarkStart w:id="146" w:name="_Toc27185"/>
            <w:bookmarkStart w:id="147" w:name="_Toc5992"/>
            <w:bookmarkStart w:id="148" w:name="_Toc17296"/>
            <w:r>
              <w:rPr>
                <w:rFonts w:hint="eastAsia" w:ascii="宋体" w:hAnsi="宋体" w:eastAsia="宋体" w:cs="Times New Roman"/>
                <w:color w:val="auto"/>
                <w:sz w:val="21"/>
                <w:szCs w:val="21"/>
                <w:highlight w:val="none"/>
              </w:rPr>
              <w:t>页码范围</w:t>
            </w:r>
            <w:bookmarkEnd w:id="140"/>
            <w:bookmarkEnd w:id="141"/>
            <w:bookmarkEnd w:id="142"/>
            <w:bookmarkEnd w:id="143"/>
            <w:bookmarkEnd w:id="144"/>
            <w:bookmarkEnd w:id="145"/>
            <w:bookmarkEnd w:id="146"/>
            <w:bookmarkEnd w:id="14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bl>
    <w:p>
      <w:pPr>
        <w:pStyle w:val="26"/>
        <w:spacing w:after="0" w:line="360" w:lineRule="auto"/>
        <w:rPr>
          <w:rFonts w:ascii="宋体" w:hAnsi="宋体" w:eastAsia="宋体"/>
          <w:color w:val="auto"/>
          <w:sz w:val="21"/>
          <w:szCs w:val="21"/>
          <w:highlight w:val="none"/>
        </w:rPr>
      </w:pPr>
    </w:p>
    <w:p>
      <w:pPr>
        <w:pStyle w:val="26"/>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6"/>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6"/>
        <w:numPr>
          <w:ilvl w:val="0"/>
          <w:numId w:val="10"/>
        </w:numPr>
        <w:spacing w:after="0" w:line="360" w:lineRule="auto"/>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rPr>
        <w:t>投标人可按项目的实际需要提供本表格。</w:t>
      </w:r>
      <w:r>
        <w:rPr>
          <w:rFonts w:hint="eastAsia" w:ascii="宋体" w:hAnsi="宋体" w:eastAsia="宋体"/>
          <w:b/>
          <w:bCs/>
          <w:color w:val="auto"/>
          <w:sz w:val="21"/>
          <w:szCs w:val="21"/>
          <w:highlight w:val="none"/>
          <w:lang w:eastAsia="zh-CN"/>
        </w:rPr>
        <w:t>招标文件内未涉及▲参数的，此表可以不用提供。</w:t>
      </w:r>
    </w:p>
    <w:p>
      <w:pPr>
        <w:pStyle w:val="26"/>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响应表所列出的材料应为真实准确的，若文件需要，应提供相关证明材料复印件加盖公章。请勿提供虚假、过期材料，否则将依据相关规定严肃处理</w:t>
      </w:r>
    </w:p>
    <w:p>
      <w:pPr>
        <w:pStyle w:val="26"/>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若招标文件有需求，投标文件未提供重要技术参数（</w:t>
      </w:r>
      <w:r>
        <w:rPr>
          <w:rFonts w:hint="eastAsia" w:ascii="宋体" w:hAnsi="宋体" w:eastAsia="宋体" w:cs="Times New Roman"/>
          <w:color w:val="auto"/>
          <w:sz w:val="21"/>
          <w:szCs w:val="21"/>
          <w:highlight w:val="none"/>
        </w:rPr>
        <w:t>▲</w:t>
      </w:r>
      <w:r>
        <w:rPr>
          <w:rFonts w:hint="eastAsia" w:ascii="宋体" w:hAnsi="宋体" w:eastAsia="宋体"/>
          <w:color w:val="auto"/>
          <w:sz w:val="21"/>
          <w:szCs w:val="21"/>
          <w:highlight w:val="none"/>
        </w:rPr>
        <w:t>）响应表对投标人投标产生负面影响的，投标人自行承担后果。</w:t>
      </w:r>
    </w:p>
    <w:p>
      <w:pPr>
        <w:pStyle w:val="26"/>
        <w:numPr>
          <w:ilvl w:val="0"/>
          <w:numId w:val="10"/>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30"/>
          <w:szCs w:val="30"/>
          <w:highlight w:val="none"/>
        </w:rPr>
      </w:pPr>
      <w:bookmarkStart w:id="149" w:name="_Toc26041"/>
      <w:r>
        <w:rPr>
          <w:rFonts w:hint="eastAsia" w:ascii="宋体" w:hAnsi="宋体" w:eastAsia="宋体"/>
          <w:color w:val="auto"/>
          <w:sz w:val="21"/>
          <w:szCs w:val="21"/>
          <w:highlight w:val="none"/>
        </w:rPr>
        <w:t>附件13.业绩表</w:t>
      </w:r>
      <w:bookmarkEnd w:id="149"/>
    </w:p>
    <w:p>
      <w:pPr>
        <w:jc w:val="center"/>
        <w:rPr>
          <w:rFonts w:hint="eastAsia" w:ascii="黑体" w:eastAsia="黑体"/>
          <w:color w:val="auto"/>
          <w:sz w:val="28"/>
          <w:szCs w:val="28"/>
          <w:highlight w:val="none"/>
        </w:rPr>
      </w:pPr>
      <w:r>
        <w:rPr>
          <w:rFonts w:hint="eastAsia" w:ascii="黑体" w:eastAsia="黑体"/>
          <w:color w:val="auto"/>
          <w:sz w:val="28"/>
          <w:szCs w:val="28"/>
          <w:highlight w:val="none"/>
        </w:rPr>
        <w:t>业绩表</w:t>
      </w:r>
    </w:p>
    <w:tbl>
      <w:tblPr>
        <w:tblStyle w:val="1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序号</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1706"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项目金额</w:t>
            </w:r>
          </w:p>
        </w:tc>
        <w:tc>
          <w:tcPr>
            <w:tcW w:w="1705" w:type="dxa"/>
            <w:vAlign w:val="center"/>
          </w:tcPr>
          <w:p>
            <w:pPr>
              <w:adjustRightInd/>
              <w:snapToGrid/>
              <w:spacing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项目合同签订时间</w:t>
            </w:r>
          </w:p>
        </w:tc>
        <w:tc>
          <w:tcPr>
            <w:tcW w:w="1697" w:type="dxa"/>
            <w:vAlign w:val="center"/>
          </w:tcPr>
          <w:p>
            <w:pPr>
              <w:adjustRightInd/>
              <w:snapToGrid/>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706" w:type="dxa"/>
            <w:vAlign w:val="center"/>
          </w:tcPr>
          <w:p>
            <w:pPr>
              <w:adjustRightInd/>
              <w:snapToGrid/>
              <w:spacing w:after="0"/>
              <w:jc w:val="center"/>
              <w:rPr>
                <w:rFonts w:hint="eastAsia" w:ascii="宋体" w:hAnsi="宋体" w:eastAsia="宋体"/>
                <w:color w:val="auto"/>
                <w:sz w:val="21"/>
                <w:szCs w:val="21"/>
                <w:highlight w:val="none"/>
              </w:rPr>
            </w:pPr>
          </w:p>
        </w:tc>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697" w:type="dxa"/>
            <w:vAlign w:val="center"/>
          </w:tcPr>
          <w:p>
            <w:pPr>
              <w:adjustRightInd/>
              <w:snapToGrid/>
              <w:spacing w:after="0"/>
              <w:jc w:val="center"/>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bl>
    <w:p>
      <w:pPr>
        <w:pStyle w:val="26"/>
        <w:spacing w:after="0"/>
        <w:rPr>
          <w:rFonts w:ascii="宋体" w:hAnsi="宋体" w:eastAsia="宋体"/>
          <w:color w:val="auto"/>
          <w:sz w:val="21"/>
          <w:szCs w:val="21"/>
          <w:highlight w:val="none"/>
        </w:rPr>
      </w:pPr>
    </w:p>
    <w:p>
      <w:pPr>
        <w:pStyle w:val="26"/>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6"/>
        <w:keepNext w:val="0"/>
        <w:keepLines w:val="0"/>
        <w:pageBreakBefore w:val="0"/>
        <w:widowControl/>
        <w:numPr>
          <w:ilvl w:val="0"/>
          <w:numId w:val="11"/>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6"/>
        <w:keepNext w:val="0"/>
        <w:keepLines w:val="0"/>
        <w:pageBreakBefore w:val="0"/>
        <w:widowControl/>
        <w:numPr>
          <w:ilvl w:val="0"/>
          <w:numId w:val="11"/>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业绩表所列出的材料应为真实准确的，并应提供相关证明材料复印件加盖公章。请勿提供虚假、过期材料，否则将依据相关规定严肃处理。</w:t>
      </w:r>
    </w:p>
    <w:p>
      <w:pPr>
        <w:pStyle w:val="26"/>
        <w:numPr>
          <w:ilvl w:val="0"/>
          <w:numId w:val="11"/>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50" w:name="_Toc11366"/>
      <w:r>
        <w:rPr>
          <w:rFonts w:hint="eastAsia" w:ascii="宋体" w:hAnsi="宋体" w:eastAsia="宋体"/>
          <w:color w:val="auto"/>
          <w:sz w:val="21"/>
          <w:szCs w:val="21"/>
          <w:highlight w:val="none"/>
        </w:rPr>
        <w:t>附件14. 项目实施方案格式</w:t>
      </w:r>
      <w:bookmarkEnd w:id="150"/>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jc w:val="center"/>
        <w:rPr>
          <w:rFonts w:ascii="黑体" w:eastAsia="黑体"/>
          <w:color w:val="auto"/>
          <w:sz w:val="32"/>
          <w:szCs w:val="32"/>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1、为完成本项目投标人临时投入的设备</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4、售后服务方案</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5、..........</w:t>
      </w:r>
    </w:p>
    <w:p>
      <w:pPr>
        <w:spacing w:after="0" w:line="360" w:lineRule="auto"/>
        <w:ind w:left="738" w:leftChars="200" w:hanging="298" w:hangingChars="142"/>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自行编写。</w:t>
      </w: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51" w:name="_Toc9262"/>
      <w:r>
        <w:rPr>
          <w:rFonts w:hint="eastAsia" w:ascii="宋体" w:hAnsi="宋体" w:eastAsia="宋体"/>
          <w:color w:val="auto"/>
          <w:sz w:val="21"/>
          <w:szCs w:val="21"/>
          <w:highlight w:val="none"/>
        </w:rPr>
        <w:t>附件15. 实施本项目的有关人员资料表格式</w:t>
      </w:r>
      <w:bookmarkEnd w:id="151"/>
    </w:p>
    <w:p>
      <w:pPr>
        <w:jc w:val="center"/>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18"/>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82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姓名</w:t>
            </w:r>
          </w:p>
        </w:tc>
        <w:tc>
          <w:tcPr>
            <w:tcW w:w="139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本项目拟任岗位</w:t>
            </w:r>
          </w:p>
        </w:tc>
        <w:tc>
          <w:tcPr>
            <w:tcW w:w="763"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性别</w:t>
            </w:r>
          </w:p>
        </w:tc>
        <w:tc>
          <w:tcPr>
            <w:tcW w:w="708"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年龄</w:t>
            </w:r>
          </w:p>
        </w:tc>
        <w:tc>
          <w:tcPr>
            <w:tcW w:w="851"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技术职称</w:t>
            </w:r>
          </w:p>
        </w:tc>
        <w:tc>
          <w:tcPr>
            <w:tcW w:w="850"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专 业</w:t>
            </w:r>
          </w:p>
        </w:tc>
        <w:tc>
          <w:tcPr>
            <w:tcW w:w="788"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资质证书</w:t>
            </w:r>
          </w:p>
        </w:tc>
        <w:tc>
          <w:tcPr>
            <w:tcW w:w="1090" w:type="dxa"/>
            <w:tcBorders>
              <w:right w:val="single" w:color="auto" w:sz="6" w:space="0"/>
            </w:tcBorders>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bl>
    <w:p>
      <w:pPr>
        <w:ind w:firstLine="178" w:firstLineChars="85"/>
        <w:rPr>
          <w:rFonts w:hint="eastAsia" w:ascii="宋体" w:hAnsi="宋体" w:eastAsia="宋体"/>
          <w:color w:val="auto"/>
          <w:sz w:val="21"/>
          <w:szCs w:val="21"/>
          <w:highlight w:val="none"/>
        </w:rPr>
      </w:pP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附有关证明文件（复印件加盖公章）</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6"/>
        <w:numPr>
          <w:ilvl w:val="0"/>
          <w:numId w:val="1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投标人可按项目的实际需要提供本表格。</w:t>
      </w:r>
    </w:p>
    <w:p>
      <w:pPr>
        <w:pStyle w:val="26"/>
        <w:numPr>
          <w:ilvl w:val="0"/>
          <w:numId w:val="12"/>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spacing w:after="0" w:line="360" w:lineRule="auto"/>
        <w:rPr>
          <w:rFonts w:ascii="宋体" w:hAnsi="宋体" w:eastAsia="宋体" w:cs="Times New Roman"/>
          <w:color w:val="auto"/>
          <w:sz w:val="21"/>
          <w:szCs w:val="21"/>
          <w:highlight w:val="none"/>
        </w:rPr>
      </w:pPr>
      <w:r>
        <w:rPr>
          <w:rFonts w:hint="eastAsia" w:ascii="宋体" w:hAnsi="宋体" w:eastAsia="宋体"/>
          <w:color w:val="auto"/>
          <w:sz w:val="21"/>
          <w:szCs w:val="21"/>
          <w:highlight w:val="none"/>
          <w:lang w:val="en-US" w:eastAsia="zh-CN"/>
        </w:rPr>
        <w:t>3、投标人若未提供或未填写完整则视为完全响应招标文件的人员要求，因此</w:t>
      </w:r>
      <w:r>
        <w:rPr>
          <w:rFonts w:hint="eastAsia" w:ascii="宋体" w:hAnsi="宋体" w:eastAsia="宋体"/>
          <w:color w:val="auto"/>
          <w:sz w:val="21"/>
          <w:szCs w:val="21"/>
          <w:highlight w:val="none"/>
        </w:rPr>
        <w:t>对投标人投标产生负面影响的，投标人自行承担后果。</w:t>
      </w:r>
    </w:p>
    <w:p>
      <w:pPr>
        <w:pStyle w:val="26"/>
        <w:numPr>
          <w:ilvl w:val="0"/>
          <w:numId w:val="12"/>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52" w:name="_Toc30553"/>
      <w:r>
        <w:rPr>
          <w:rFonts w:hint="eastAsia" w:ascii="宋体" w:hAnsi="宋体" w:eastAsia="宋体"/>
          <w:color w:val="auto"/>
          <w:sz w:val="21"/>
          <w:szCs w:val="21"/>
          <w:highlight w:val="none"/>
        </w:rPr>
        <w:t>附件16.投标货物说明一览表格式</w:t>
      </w:r>
      <w:bookmarkEnd w:id="152"/>
    </w:p>
    <w:p>
      <w:pPr>
        <w:jc w:val="center"/>
        <w:rPr>
          <w:rFonts w:ascii="黑体" w:eastAsia="黑体"/>
          <w:color w:val="auto"/>
          <w:sz w:val="28"/>
          <w:szCs w:val="28"/>
          <w:highlight w:val="none"/>
        </w:rPr>
      </w:pPr>
    </w:p>
    <w:p>
      <w:pPr>
        <w:jc w:val="center"/>
        <w:rPr>
          <w:rFonts w:ascii="黑体" w:eastAsia="黑体" w:cs="Times New Roman"/>
          <w:color w:val="auto"/>
          <w:sz w:val="28"/>
          <w:szCs w:val="28"/>
          <w:highlight w:val="none"/>
        </w:rPr>
      </w:pPr>
      <w:r>
        <w:rPr>
          <w:rFonts w:hint="eastAsia" w:ascii="黑体" w:eastAsia="黑体" w:cs="Times New Roman"/>
          <w:color w:val="auto"/>
          <w:sz w:val="28"/>
          <w:szCs w:val="28"/>
          <w:highlight w:val="none"/>
        </w:rPr>
        <w:t>投标货物说明一览表</w:t>
      </w:r>
    </w:p>
    <w:tbl>
      <w:tblPr>
        <w:tblStyle w:val="1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43"/>
        <w:gridCol w:w="1132"/>
        <w:gridCol w:w="850"/>
        <w:gridCol w:w="850"/>
        <w:gridCol w:w="850"/>
        <w:gridCol w:w="850"/>
        <w:gridCol w:w="115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序号</w:t>
            </w:r>
          </w:p>
        </w:tc>
        <w:tc>
          <w:tcPr>
            <w:tcW w:w="729"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货物名称</w:t>
            </w:r>
          </w:p>
        </w:tc>
        <w:tc>
          <w:tcPr>
            <w:tcW w:w="664"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规格型号</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品牌</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制造商</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产地</w:t>
            </w:r>
          </w:p>
        </w:tc>
        <w:tc>
          <w:tcPr>
            <w:tcW w:w="499"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w:t>
            </w:r>
          </w:p>
        </w:tc>
        <w:tc>
          <w:tcPr>
            <w:tcW w:w="680"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单价</w:t>
            </w:r>
          </w:p>
        </w:tc>
        <w:tc>
          <w:tcPr>
            <w:tcW w:w="536"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bl>
    <w:p>
      <w:pPr>
        <w:spacing w:after="0"/>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投标人代表签字：</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投标人盖章：</w:t>
      </w:r>
    </w:p>
    <w:p>
      <w:pPr>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w:t>
      </w:r>
    </w:p>
    <w:p>
      <w:pPr>
        <w:pStyle w:val="26"/>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1、投标人可按项目的实际需要提供本表格。</w:t>
      </w:r>
    </w:p>
    <w:p>
      <w:pPr>
        <w:pStyle w:val="26"/>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2、该表格为参考格式，投标人可按实际情况自行制订。</w:t>
      </w:r>
    </w:p>
    <w:p>
      <w:pPr>
        <w:pStyle w:val="26"/>
        <w:ind w:firstLine="0" w:firstLineChars="0"/>
        <w:rPr>
          <w:rFonts w:ascii="宋体" w:hAnsi="宋体" w:eastAsia="宋体"/>
          <w:color w:val="auto"/>
          <w:sz w:val="21"/>
          <w:szCs w:val="21"/>
          <w:highlight w:val="none"/>
        </w:rPr>
      </w:pPr>
      <w:r>
        <w:rPr>
          <w:rFonts w:hint="eastAsia" w:ascii="宋体" w:hAnsi="宋体" w:eastAsia="宋体"/>
          <w:b/>
          <w:bCs/>
          <w:color w:val="auto"/>
          <w:sz w:val="21"/>
          <w:szCs w:val="21"/>
          <w:highlight w:val="none"/>
          <w:lang w:val="en-US" w:eastAsia="zh-CN"/>
        </w:rPr>
        <w:t>3、如本项目不涉及此表内容，则无需提供此表。</w:t>
      </w: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楷体_GB2312" w:eastAsia="楷体_GB2312"/>
          <w:color w:val="auto"/>
          <w:sz w:val="24"/>
          <w:highlight w:val="none"/>
        </w:rPr>
      </w:pPr>
      <w:bookmarkStart w:id="153" w:name="_Toc13438"/>
      <w:r>
        <w:rPr>
          <w:rFonts w:hint="eastAsia" w:ascii="宋体" w:hAnsi="宋体" w:eastAsia="宋体"/>
          <w:color w:val="auto"/>
          <w:sz w:val="21"/>
          <w:szCs w:val="21"/>
          <w:highlight w:val="none"/>
        </w:rPr>
        <w:t>附件17.在经营活动中没有重大违法记录的书面声明格式</w:t>
      </w:r>
      <w:bookmarkEnd w:id="153"/>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w:t>
      </w:r>
      <w:r>
        <w:rPr>
          <w:rFonts w:hint="eastAsia" w:ascii="黑体" w:eastAsia="黑体"/>
          <w:color w:val="auto"/>
          <w:sz w:val="28"/>
          <w:szCs w:val="28"/>
          <w:highlight w:val="none"/>
          <w:lang w:eastAsia="zh-CN"/>
        </w:rPr>
        <w:t>经营活动中前三年内</w:t>
      </w:r>
      <w:r>
        <w:rPr>
          <w:rFonts w:hint="eastAsia" w:ascii="黑体" w:eastAsia="黑体"/>
          <w:color w:val="auto"/>
          <w:sz w:val="28"/>
          <w:szCs w:val="28"/>
          <w:highlight w:val="none"/>
        </w:rPr>
        <w:t>未有重大违法记录、没有不良信用记录的声明函</w:t>
      </w:r>
    </w:p>
    <w:p>
      <w:pPr>
        <w:spacing w:after="0" w:line="360" w:lineRule="auto"/>
        <w:ind w:firstLine="420" w:firstLineChars="200"/>
        <w:rPr>
          <w:rFonts w:ascii="宋体" w:hAnsi="宋体" w:eastAsia="宋体" w:cs="宋体"/>
          <w:color w:val="auto"/>
          <w:sz w:val="21"/>
          <w:szCs w:val="21"/>
          <w:highlight w:val="none"/>
        </w:rPr>
      </w:pP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三方诚信招标有限公司</w:t>
      </w:r>
      <w:r>
        <w:rPr>
          <w:rFonts w:hint="eastAsia" w:ascii="宋体" w:hAnsi="宋体" w:eastAsia="宋体" w:cs="宋体"/>
          <w:color w:val="auto"/>
          <w:sz w:val="21"/>
          <w:szCs w:val="21"/>
          <w:highlight w:val="none"/>
        </w:rPr>
        <w:t>东莞分公司：</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我公司郑重承诺：在参加“</w:t>
      </w:r>
      <w:r>
        <w:rPr>
          <w:rFonts w:hint="eastAsia" w:ascii="宋体" w:hAnsi="宋体" w:eastAsia="宋体" w:cs="宋体"/>
          <w:color w:val="auto"/>
          <w:sz w:val="21"/>
          <w:szCs w:val="21"/>
          <w:highlight w:val="none"/>
          <w:u w:val="single"/>
        </w:rPr>
        <w:t xml:space="preserve">       （采购项目名称）</w:t>
      </w:r>
      <w:r>
        <w:rPr>
          <w:rFonts w:hint="eastAsia" w:ascii="宋体" w:hAnsi="宋体" w:eastAsia="宋体" w:cs="宋体"/>
          <w:color w:val="auto"/>
          <w:sz w:val="21"/>
          <w:szCs w:val="21"/>
          <w:highlight w:val="none"/>
        </w:rPr>
        <w:t>” （项目编号: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w:t>
      </w: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adjustRightInd/>
        <w:snapToGrid/>
        <w:spacing w:line="276" w:lineRule="auto"/>
        <w:rPr>
          <w:rFonts w:ascii="楷体_GB2312" w:eastAsia="楷体_GB2312" w:hAnsiTheme="majorHAnsi" w:cstheme="majorBidi"/>
          <w:b/>
          <w:bCs/>
          <w:color w:val="auto"/>
          <w:sz w:val="24"/>
          <w:szCs w:val="28"/>
          <w:highlight w:val="none"/>
        </w:rPr>
      </w:pPr>
      <w:bookmarkStart w:id="154" w:name="_Toc417907703"/>
      <w:r>
        <w:rPr>
          <w:rFonts w:ascii="楷体_GB2312" w:eastAsia="楷体_GB2312"/>
          <w:color w:val="auto"/>
          <w:sz w:val="24"/>
          <w:highlight w:val="none"/>
        </w:rPr>
        <w:br w:type="page"/>
      </w:r>
    </w:p>
    <w:p>
      <w:pPr>
        <w:pStyle w:val="5"/>
        <w:widowControl w:val="0"/>
        <w:overflowPunct w:val="0"/>
        <w:spacing w:before="0" w:after="0" w:line="240" w:lineRule="auto"/>
        <w:rPr>
          <w:color w:val="auto"/>
          <w:highlight w:val="none"/>
        </w:rPr>
      </w:pPr>
      <w:bookmarkStart w:id="155" w:name="_Toc26259"/>
      <w:r>
        <w:rPr>
          <w:rFonts w:hint="eastAsia" w:ascii="宋体" w:hAnsi="宋体" w:eastAsia="宋体"/>
          <w:color w:val="auto"/>
          <w:sz w:val="21"/>
          <w:szCs w:val="21"/>
          <w:highlight w:val="none"/>
        </w:rPr>
        <w:t>附件18. 中小企业声明函（投标人为中小企业时适用）</w:t>
      </w:r>
      <w:bookmarkEnd w:id="154"/>
      <w:bookmarkEnd w:id="155"/>
    </w:p>
    <w:p>
      <w:pPr>
        <w:jc w:val="center"/>
        <w:rPr>
          <w:rFonts w:ascii="微软雅黑" w:hAnsi="微软雅黑" w:cs="微软雅黑"/>
          <w:b/>
          <w:color w:val="auto"/>
          <w:sz w:val="28"/>
          <w:szCs w:val="28"/>
          <w:highlight w:val="none"/>
        </w:rPr>
      </w:pPr>
    </w:p>
    <w:p>
      <w:pPr>
        <w:jc w:val="center"/>
        <w:rPr>
          <w:rFonts w:hint="eastAsia" w:ascii="黑体" w:eastAsia="黑体"/>
          <w:color w:val="auto"/>
          <w:sz w:val="28"/>
          <w:szCs w:val="28"/>
          <w:highlight w:val="none"/>
          <w:lang w:eastAsia="zh-CN"/>
        </w:rPr>
      </w:pPr>
      <w:r>
        <w:rPr>
          <w:rFonts w:hint="eastAsia" w:ascii="黑体" w:eastAsia="黑体"/>
          <w:color w:val="auto"/>
          <w:sz w:val="28"/>
          <w:szCs w:val="28"/>
          <w:highlight w:val="none"/>
        </w:rPr>
        <w:t>中小企业声明函</w:t>
      </w:r>
      <w:r>
        <w:rPr>
          <w:rFonts w:hint="eastAsia" w:ascii="黑体" w:eastAsia="黑体"/>
          <w:color w:val="auto"/>
          <w:sz w:val="28"/>
          <w:szCs w:val="28"/>
          <w:highlight w:val="none"/>
          <w:lang w:eastAsia="zh-CN"/>
        </w:rPr>
        <w:t>（货物）</w:t>
      </w:r>
    </w:p>
    <w:p>
      <w:pPr>
        <w:keepNext w:val="0"/>
        <w:keepLines w:val="0"/>
        <w:pageBreakBefore w:val="0"/>
        <w:widowControl/>
        <w:kinsoku/>
        <w:wordWrap/>
        <w:overflowPunct/>
        <w:topLinePunct w:val="0"/>
        <w:autoSpaceDE/>
        <w:autoSpaceDN/>
        <w:bidi w:val="0"/>
        <w:adjustRightInd w:val="0"/>
        <w:snapToGrid w:val="0"/>
        <w:spacing w:line="360" w:lineRule="auto"/>
        <w:ind w:firstLine="630" w:firstLineChars="3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1"/>
          <w:szCs w:val="21"/>
          <w:highlight w:val="none"/>
          <w:u w:val="single"/>
          <w:lang w:val="en-US" w:eastAsia="zh-CN"/>
        </w:rPr>
        <w:t>（单位名称）</w:t>
      </w:r>
      <w:r>
        <w:rPr>
          <w:rFonts w:hint="eastAsia" w:asciiTheme="minorEastAsia" w:hAnsiTheme="minorEastAsia" w:eastAsiaTheme="minorEastAsia" w:cstheme="minorEastAsia"/>
          <w:color w:val="auto"/>
          <w:sz w:val="21"/>
          <w:szCs w:val="21"/>
          <w:highlight w:val="none"/>
          <w:u w:val="none"/>
          <w:lang w:val="en-US" w:eastAsia="zh-CN"/>
        </w:rPr>
        <w:t>的</w:t>
      </w:r>
      <w:r>
        <w:rPr>
          <w:rFonts w:hint="eastAsia" w:asciiTheme="minorEastAsia" w:hAnsiTheme="minorEastAsia" w:eastAsiaTheme="minorEastAsia" w:cstheme="minorEastAsia"/>
          <w:color w:val="auto"/>
          <w:sz w:val="21"/>
          <w:szCs w:val="21"/>
          <w:highlight w:val="none"/>
          <w:u w:val="single"/>
          <w:lang w:val="en-US" w:eastAsia="zh-CN"/>
        </w:rPr>
        <w:t>（项目名称）</w:t>
      </w:r>
      <w:r>
        <w:rPr>
          <w:rFonts w:hint="eastAsia" w:asciiTheme="minorEastAsia" w:hAnsiTheme="minorEastAsia" w:eastAsiaTheme="minorEastAsia" w:cstheme="minorEastAsia"/>
          <w:color w:val="auto"/>
          <w:sz w:val="21"/>
          <w:szCs w:val="21"/>
          <w:highlight w:val="none"/>
          <w:u w:val="none"/>
          <w:lang w:val="en-US" w:eastAsia="zh-CN"/>
        </w:rPr>
        <w:t>采购活动，提供的货物全部由符合政策要求的中小企业制造。相关企业</w:t>
      </w:r>
      <w:r>
        <w:rPr>
          <w:rFonts w:hint="eastAsia" w:asciiTheme="minorEastAsia" w:hAnsiTheme="minorEastAsia" w:eastAsiaTheme="minorEastAsia" w:cstheme="minorEastAsia"/>
          <w:color w:val="auto"/>
          <w:sz w:val="21"/>
          <w:szCs w:val="21"/>
          <w:highlight w:val="none"/>
          <w:u w:val="single"/>
          <w:lang w:val="en-US" w:eastAsia="zh-CN"/>
        </w:rPr>
        <w:t>（含联合体中的中小企业、签订分包意向协议的中小企业）</w:t>
      </w:r>
      <w:r>
        <w:rPr>
          <w:rFonts w:hint="eastAsia" w:asciiTheme="minorEastAsia" w:hAnsiTheme="minorEastAsia" w:eastAsiaTheme="minorEastAsia" w:cstheme="minorEastAsia"/>
          <w:color w:val="auto"/>
          <w:sz w:val="21"/>
          <w:szCs w:val="21"/>
          <w:highlight w:val="none"/>
          <w:u w:val="none"/>
          <w:lang w:val="en-US" w:eastAsia="zh-CN"/>
        </w:rPr>
        <w:t>的具体情况如下：</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1.</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；制造商为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w:t>
      </w:r>
      <w:r>
        <w:rPr>
          <w:rStyle w:val="23"/>
          <w:rFonts w:hint="eastAsia" w:asciiTheme="minorEastAsia" w:hAnsiTheme="minorEastAsia" w:eastAsiaTheme="minorEastAsia" w:cstheme="minorEastAsia"/>
          <w:color w:val="auto"/>
          <w:sz w:val="21"/>
          <w:szCs w:val="21"/>
          <w:highlight w:val="none"/>
          <w:u w:val="none"/>
          <w:lang w:val="en-US" w:eastAsia="zh-CN"/>
        </w:rPr>
        <w:footnoteReference w:id="0"/>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2.</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；制造商为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以上企业，不属于大企业的分支机构，不存在控股股东为大企业的情形，也不存在与大企业的负责人为同一人的情形。</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本企业对上诉声明内容的真实性负责。如有虚假，将依法承担相应责任。</w:t>
      </w:r>
    </w:p>
    <w:p>
      <w:pPr>
        <w:pStyle w:val="2"/>
        <w:keepNext w:val="0"/>
        <w:keepLines w:val="0"/>
        <w:pageBreakBefore w:val="0"/>
        <w:widowControl/>
        <w:kinsoku/>
        <w:wordWrap w:val="0"/>
        <w:overflowPunct/>
        <w:topLinePunct w:val="0"/>
        <w:autoSpaceDE/>
        <w:autoSpaceDN/>
        <w:bidi w:val="0"/>
        <w:adjustRightInd w:val="0"/>
        <w:snapToGrid w:val="0"/>
        <w:spacing w:line="360" w:lineRule="auto"/>
        <w:ind w:left="0" w:leftChars="0" w:firstLine="480" w:firstLineChars="0"/>
        <w:jc w:val="right"/>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val="0"/>
        <w:spacing w:line="360" w:lineRule="auto"/>
        <w:ind w:firstLine="4830" w:firstLineChars="2300"/>
        <w:jc w:val="both"/>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企业名称（盖章）：</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center"/>
        <w:textAlignment w:val="auto"/>
        <w:rPr>
          <w:rFonts w:hint="default"/>
          <w:color w:val="auto"/>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日期：</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br w:type="page"/>
      </w:r>
    </w:p>
    <w:p>
      <w:pPr>
        <w:jc w:val="center"/>
        <w:rPr>
          <w:rFonts w:hint="eastAsia" w:ascii="黑体" w:eastAsia="黑体"/>
          <w:color w:val="auto"/>
          <w:sz w:val="28"/>
          <w:szCs w:val="28"/>
          <w:highlight w:val="none"/>
        </w:rPr>
      </w:pPr>
    </w:p>
    <w:p>
      <w:pPr>
        <w:jc w:val="center"/>
        <w:rPr>
          <w:rFonts w:hint="eastAsia" w:ascii="黑体" w:eastAsia="黑体"/>
          <w:color w:val="auto"/>
          <w:sz w:val="28"/>
          <w:szCs w:val="28"/>
          <w:highlight w:val="none"/>
          <w:lang w:eastAsia="zh-CN"/>
        </w:rPr>
      </w:pPr>
      <w:r>
        <w:rPr>
          <w:rFonts w:hint="eastAsia" w:ascii="黑体" w:eastAsia="黑体"/>
          <w:color w:val="auto"/>
          <w:sz w:val="28"/>
          <w:szCs w:val="28"/>
          <w:highlight w:val="none"/>
        </w:rPr>
        <w:t>中小企业声明函</w:t>
      </w:r>
      <w:r>
        <w:rPr>
          <w:rFonts w:hint="eastAsia" w:ascii="黑体" w:eastAsia="黑体"/>
          <w:color w:val="auto"/>
          <w:sz w:val="28"/>
          <w:szCs w:val="28"/>
          <w:highlight w:val="none"/>
          <w:lang w:eastAsia="zh-CN"/>
        </w:rPr>
        <w:t>（工程、服务）</w:t>
      </w:r>
    </w:p>
    <w:p>
      <w:pPr>
        <w:keepNext w:val="0"/>
        <w:keepLines w:val="0"/>
        <w:pageBreakBefore w:val="0"/>
        <w:widowControl/>
        <w:kinsoku/>
        <w:wordWrap/>
        <w:overflowPunct/>
        <w:topLinePunct w:val="0"/>
        <w:autoSpaceDE/>
        <w:autoSpaceDN/>
        <w:bidi w:val="0"/>
        <w:adjustRightInd w:val="0"/>
        <w:snapToGrid w:val="0"/>
        <w:spacing w:line="360" w:lineRule="auto"/>
        <w:ind w:firstLine="22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eastAsiaTheme="minorEastAsia"/>
          <w:color w:val="auto"/>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1"/>
          <w:szCs w:val="21"/>
          <w:highlight w:val="none"/>
          <w:u w:val="single"/>
          <w:lang w:val="en-US" w:eastAsia="zh-CN"/>
        </w:rPr>
        <w:t>（单位名称）</w:t>
      </w:r>
      <w:r>
        <w:rPr>
          <w:rFonts w:hint="eastAsia" w:asciiTheme="minorEastAsia" w:hAnsiTheme="minorEastAsia" w:eastAsiaTheme="minorEastAsia" w:cstheme="minorEastAsia"/>
          <w:color w:val="auto"/>
          <w:sz w:val="21"/>
          <w:szCs w:val="21"/>
          <w:highlight w:val="none"/>
          <w:u w:val="none"/>
          <w:lang w:val="en-US" w:eastAsia="zh-CN"/>
        </w:rPr>
        <w:t>的</w:t>
      </w:r>
      <w:r>
        <w:rPr>
          <w:rFonts w:hint="eastAsia" w:asciiTheme="minorEastAsia" w:hAnsiTheme="minorEastAsia" w:eastAsiaTheme="minorEastAsia" w:cstheme="minorEastAsia"/>
          <w:color w:val="auto"/>
          <w:sz w:val="21"/>
          <w:szCs w:val="21"/>
          <w:highlight w:val="none"/>
          <w:u w:val="single"/>
          <w:lang w:val="en-US" w:eastAsia="zh-CN"/>
        </w:rPr>
        <w:t>（项目名称）</w:t>
      </w:r>
      <w:r>
        <w:rPr>
          <w:rFonts w:hint="eastAsia" w:asciiTheme="minorEastAsia" w:hAnsiTheme="minorEastAsia" w:eastAsiaTheme="minorEastAsia" w:cstheme="minorEastAsia"/>
          <w:color w:val="auto"/>
          <w:sz w:val="21"/>
          <w:szCs w:val="21"/>
          <w:highlight w:val="none"/>
          <w:u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1.</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；承建（承接）企业为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w:t>
      </w:r>
      <w:r>
        <w:rPr>
          <w:rStyle w:val="23"/>
          <w:rFonts w:hint="eastAsia" w:asciiTheme="minorEastAsia" w:hAnsiTheme="minorEastAsia" w:eastAsiaTheme="minorEastAsia" w:cstheme="minorEastAsia"/>
          <w:color w:val="auto"/>
          <w:sz w:val="21"/>
          <w:szCs w:val="21"/>
          <w:highlight w:val="none"/>
          <w:u w:val="none"/>
          <w:lang w:val="en-US" w:eastAsia="zh-CN"/>
        </w:rPr>
        <w:footnoteReference w:id="1"/>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2.</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；承建（承接）企业为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以上企业，不属于大企业的分支机构，不存在控股股东为大企业的情形，也不存在与大企业的负责人为同一人的情形。</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本企业对上诉声明内容的真实性负责。如有虚假，将依法承担相应责任。</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left"/>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val="0"/>
        <w:spacing w:line="360" w:lineRule="auto"/>
        <w:ind w:firstLine="4830" w:firstLineChars="2300"/>
        <w:jc w:val="both"/>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企业名称（盖章）：</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center"/>
        <w:textAlignment w:val="auto"/>
        <w:rPr>
          <w:rFonts w:hint="default"/>
          <w:color w:val="auto"/>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日期：</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br w:type="page"/>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1、投标人应根据</w:t>
      </w:r>
      <w:r>
        <w:rPr>
          <w:rFonts w:hint="eastAsia" w:ascii="宋体" w:hAnsi="宋体" w:eastAsia="宋体"/>
          <w:color w:val="auto"/>
          <w:sz w:val="21"/>
          <w:szCs w:val="21"/>
          <w:highlight w:val="none"/>
          <w:lang w:eastAsia="zh-CN"/>
        </w:rPr>
        <w:t>《政府采购促进中小企业发展管理办法》的通知（财库〔2020〕46号）</w:t>
      </w:r>
      <w:r>
        <w:rPr>
          <w:rFonts w:hint="eastAsia" w:ascii="宋体" w:hAnsi="宋体" w:eastAsia="宋体"/>
          <w:color w:val="auto"/>
          <w:sz w:val="21"/>
          <w:szCs w:val="21"/>
          <w:highlight w:val="none"/>
        </w:rPr>
        <w:t>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2、若投标人不属于规定的中小企业范围，或提供的产品不是中小企业制造的，则无需提供此表。中小企业划分标准可查阅《关于印发中小企业划型标准规定的通知》（工信部联企业〔2011〕300号）</w:t>
      </w:r>
    </w:p>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theme="minorBidi"/>
          <w:color w:val="auto"/>
          <w:sz w:val="21"/>
          <w:szCs w:val="21"/>
          <w:highlight w:val="none"/>
          <w:lang w:val="en-US" w:eastAsia="zh-CN" w:bidi="ar-SA"/>
        </w:rPr>
      </w:pPr>
      <w:r>
        <w:rPr>
          <w:rFonts w:hint="eastAsia" w:cstheme="minorBidi"/>
          <w:color w:val="auto"/>
          <w:sz w:val="21"/>
          <w:szCs w:val="21"/>
          <w:highlight w:val="none"/>
          <w:lang w:val="en-US" w:eastAsia="zh-CN" w:bidi="ar-SA"/>
        </w:rPr>
        <w:t>3、</w:t>
      </w:r>
      <w:r>
        <w:rPr>
          <w:rFonts w:hint="eastAsia" w:ascii="宋体" w:hAnsi="宋体" w:eastAsia="宋体" w:cstheme="minorBidi"/>
          <w:color w:val="auto"/>
          <w:sz w:val="21"/>
          <w:szCs w:val="21"/>
          <w:highlight w:val="none"/>
          <w:lang w:val="en-US" w:eastAsia="zh-CN" w:bidi="ar-SA"/>
        </w:rPr>
        <w:t>若投标人属于《政府采购促进中小企业发展管理办法》的通知（财库〔2020〕46号）的第四条规定中享受中小企业扶持政策的情况，应在《中小企业声明函》中完整如实列出项目标的具体情况。若发现因提供虚假材料或者提供材料不齐全导致的一切后果由投标人自行承担责任。（如不属于上述情况，则无需提供此表）</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heme="minorBidi"/>
          <w:color w:val="auto"/>
          <w:sz w:val="21"/>
          <w:szCs w:val="21"/>
          <w:highlight w:val="none"/>
          <w:lang w:val="en-US" w:eastAsia="zh-CN" w:bidi="ar-SA"/>
        </w:rPr>
      </w:pPr>
      <w:r>
        <w:rPr>
          <w:rFonts w:hint="eastAsia" w:ascii="宋体" w:hAnsi="宋体" w:eastAsia="宋体" w:cstheme="minorBidi"/>
          <w:color w:val="auto"/>
          <w:sz w:val="21"/>
          <w:szCs w:val="21"/>
          <w:highlight w:val="none"/>
          <w:lang w:val="en-US" w:eastAsia="zh-CN" w:bidi="ar-SA"/>
        </w:rPr>
        <w:t>4、依据规定享受扶持政策获得政府采购合同的，小微企业不得将合同分包给大中型企业，中型企业不得将合同分包给大型企业。</w:t>
      </w:r>
    </w:p>
    <w:p>
      <w:pPr>
        <w:rPr>
          <w:rFonts w:ascii="楷体_GB2312" w:eastAsia="楷体_GB2312"/>
          <w:color w:val="auto"/>
          <w:sz w:val="24"/>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5"/>
        <w:widowControl w:val="0"/>
        <w:overflowPunct w:val="0"/>
        <w:spacing w:before="0" w:after="0" w:line="240" w:lineRule="auto"/>
        <w:rPr>
          <w:rFonts w:ascii="楷体_GB2312" w:eastAsia="楷体_GB2312"/>
          <w:color w:val="auto"/>
          <w:sz w:val="24"/>
          <w:highlight w:val="none"/>
        </w:rPr>
      </w:pPr>
      <w:bookmarkStart w:id="156" w:name="_Toc11132"/>
      <w:r>
        <w:rPr>
          <w:rFonts w:hint="eastAsia" w:ascii="宋体" w:hAnsi="宋体" w:eastAsia="宋体"/>
          <w:color w:val="auto"/>
          <w:sz w:val="21"/>
          <w:szCs w:val="21"/>
          <w:highlight w:val="none"/>
        </w:rPr>
        <w:t>附件19.《残疾人福利性单位声明函》（残疾人福利性单位适用）</w:t>
      </w:r>
      <w:bookmarkEnd w:id="156"/>
    </w:p>
    <w:p>
      <w:pPr>
        <w:jc w:val="cente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残疾人福利性单位声明函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本单位对上述声明的真实性负责。如有虚假，将依法承担相应责任。</w:t>
      </w:r>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单位名称（盖章）：</w:t>
      </w:r>
      <w:bookmarkStart w:id="157" w:name="_Toc509844825"/>
      <w:bookmarkStart w:id="158" w:name="_Toc30247"/>
      <w:bookmarkStart w:id="159" w:name="_Toc17761"/>
      <w:bookmarkStart w:id="160" w:name="_Toc509927455"/>
      <w:bookmarkStart w:id="161" w:name="_Toc30277"/>
      <w:bookmarkStart w:id="162" w:name="_Toc508960153"/>
      <w:bookmarkStart w:id="163" w:name="_Toc509479530"/>
      <w:bookmarkStart w:id="164" w:name="_Toc22970"/>
      <w:bookmarkStart w:id="165" w:name="_Toc508898066"/>
      <w:bookmarkStart w:id="166" w:name="_Toc20910"/>
      <w:bookmarkStart w:id="167" w:name="_Toc510171693"/>
      <w:bookmarkStart w:id="168" w:name="_Toc508958703"/>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bookmarkEnd w:id="157"/>
      <w:bookmarkEnd w:id="158"/>
      <w:bookmarkEnd w:id="159"/>
      <w:bookmarkEnd w:id="160"/>
      <w:bookmarkEnd w:id="161"/>
      <w:bookmarkEnd w:id="162"/>
      <w:bookmarkEnd w:id="163"/>
      <w:bookmarkEnd w:id="164"/>
      <w:bookmarkEnd w:id="165"/>
      <w:bookmarkEnd w:id="166"/>
      <w:bookmarkEnd w:id="167"/>
      <w:bookmarkEnd w:id="168"/>
    </w:p>
    <w:p>
      <w:pPr>
        <w:pStyle w:val="2"/>
        <w:rPr>
          <w:color w:val="auto"/>
          <w:highlight w:val="none"/>
        </w:rPr>
      </w:pPr>
    </w:p>
    <w:p>
      <w:pPr>
        <w:spacing w:after="0" w:line="480" w:lineRule="auto"/>
        <w:ind w:firstLine="420" w:firstLineChars="200"/>
        <w:rPr>
          <w:rFonts w:ascii="宋体" w:hAnsi="宋体" w:eastAsia="宋体"/>
          <w:color w:val="auto"/>
          <w:sz w:val="21"/>
          <w:szCs w:val="21"/>
          <w:highlight w:val="none"/>
        </w:rPr>
      </w:pPr>
      <w:bookmarkStart w:id="169" w:name="_Toc28527"/>
      <w:bookmarkStart w:id="170" w:name="_Toc509844826"/>
      <w:bookmarkStart w:id="171" w:name="_Toc509479531"/>
      <w:bookmarkStart w:id="172" w:name="_Toc26216"/>
      <w:bookmarkStart w:id="173" w:name="_Toc508898067"/>
      <w:bookmarkStart w:id="174" w:name="_Toc5447"/>
      <w:bookmarkStart w:id="175" w:name="_Toc21053"/>
      <w:bookmarkStart w:id="176" w:name="_Toc31520"/>
      <w:bookmarkStart w:id="177" w:name="_Toc509927456"/>
      <w:bookmarkStart w:id="178" w:name="_Toc508960154"/>
      <w:bookmarkStart w:id="179" w:name="_Toc510171694"/>
      <w:bookmarkStart w:id="180" w:name="_Toc508958704"/>
      <w:r>
        <w:rPr>
          <w:rFonts w:hint="eastAsia" w:ascii="宋体" w:hAnsi="宋体" w:eastAsia="宋体"/>
          <w:color w:val="auto"/>
          <w:sz w:val="21"/>
          <w:szCs w:val="21"/>
          <w:highlight w:val="none"/>
        </w:rPr>
        <w:t>注：（1）符合《财政部 民政部 中国残疾人联合会关于促进残疾人就业政府采购政策的通知》（财库〔2017〕 141号）规定条件的残疾人福利性单位应当提供《残疾人福利性单位声明函》。</w:t>
      </w:r>
      <w:bookmarkEnd w:id="169"/>
      <w:bookmarkEnd w:id="170"/>
      <w:bookmarkEnd w:id="171"/>
      <w:bookmarkEnd w:id="172"/>
      <w:bookmarkEnd w:id="173"/>
      <w:bookmarkEnd w:id="174"/>
      <w:bookmarkEnd w:id="175"/>
      <w:bookmarkEnd w:id="176"/>
      <w:bookmarkEnd w:id="177"/>
      <w:bookmarkEnd w:id="178"/>
      <w:bookmarkEnd w:id="179"/>
      <w:bookmarkEnd w:id="180"/>
    </w:p>
    <w:p>
      <w:pPr>
        <w:spacing w:after="0" w:line="480" w:lineRule="auto"/>
        <w:ind w:firstLine="420" w:firstLineChars="200"/>
        <w:rPr>
          <w:rFonts w:ascii="宋体" w:hAnsi="宋体" w:eastAsia="宋体"/>
          <w:color w:val="auto"/>
          <w:sz w:val="21"/>
          <w:szCs w:val="21"/>
          <w:highlight w:val="none"/>
        </w:rPr>
      </w:pPr>
      <w:bookmarkStart w:id="181" w:name="_Toc509479532"/>
      <w:bookmarkStart w:id="182" w:name="_Toc28126"/>
      <w:bookmarkStart w:id="183" w:name="_Toc14653"/>
      <w:bookmarkStart w:id="184" w:name="_Toc28626"/>
      <w:bookmarkStart w:id="185" w:name="_Toc510171695"/>
      <w:bookmarkStart w:id="186" w:name="_Toc9148"/>
      <w:bookmarkStart w:id="187" w:name="_Toc509927457"/>
      <w:bookmarkStart w:id="188" w:name="_Toc508898068"/>
      <w:bookmarkStart w:id="189" w:name="_Toc508958705"/>
      <w:bookmarkStart w:id="190" w:name="_Toc509844827"/>
      <w:bookmarkStart w:id="191" w:name="_Toc24848"/>
      <w:bookmarkStart w:id="192" w:name="_Toc508960155"/>
      <w:r>
        <w:rPr>
          <w:rFonts w:hint="eastAsia" w:ascii="宋体" w:hAnsi="宋体" w:eastAsia="宋体"/>
          <w:color w:val="auto"/>
          <w:sz w:val="21"/>
          <w:szCs w:val="21"/>
          <w:highlight w:val="none"/>
        </w:rPr>
        <w:t>（2）中标人为残疾人福利性单位的，采购代理机构将随中标结果同时公告其《残疾人福利性单位声明函》，接受社会监督。</w:t>
      </w:r>
      <w:bookmarkEnd w:id="181"/>
      <w:bookmarkEnd w:id="182"/>
      <w:bookmarkEnd w:id="183"/>
      <w:bookmarkEnd w:id="184"/>
      <w:bookmarkEnd w:id="185"/>
      <w:bookmarkEnd w:id="186"/>
      <w:bookmarkEnd w:id="187"/>
      <w:bookmarkEnd w:id="188"/>
      <w:bookmarkEnd w:id="189"/>
      <w:bookmarkEnd w:id="190"/>
      <w:bookmarkEnd w:id="191"/>
      <w:bookmarkEnd w:id="192"/>
    </w:p>
    <w:p>
      <w:pPr>
        <w:spacing w:after="0" w:line="480" w:lineRule="auto"/>
        <w:ind w:firstLine="420" w:firstLineChars="200"/>
        <w:rPr>
          <w:rFonts w:ascii="宋体" w:hAnsi="宋体" w:eastAsia="宋体"/>
          <w:color w:val="auto"/>
          <w:sz w:val="21"/>
          <w:szCs w:val="21"/>
          <w:highlight w:val="none"/>
        </w:rPr>
      </w:pPr>
      <w:bookmarkStart w:id="193" w:name="_Toc509927458"/>
      <w:bookmarkStart w:id="194" w:name="_Toc508958706"/>
      <w:bookmarkStart w:id="195" w:name="_Toc509844828"/>
      <w:bookmarkStart w:id="196" w:name="_Toc508960156"/>
      <w:bookmarkStart w:id="197" w:name="_Toc28044"/>
      <w:bookmarkStart w:id="198" w:name="_Toc509479533"/>
      <w:bookmarkStart w:id="199" w:name="_Toc508898069"/>
      <w:bookmarkStart w:id="200" w:name="_Toc7858"/>
      <w:bookmarkStart w:id="201" w:name="_Toc28686"/>
      <w:bookmarkStart w:id="202" w:name="_Toc510171696"/>
      <w:bookmarkStart w:id="203" w:name="_Toc22981"/>
      <w:bookmarkStart w:id="204" w:name="_Toc9837"/>
      <w:r>
        <w:rPr>
          <w:rFonts w:hint="eastAsia" w:ascii="宋体" w:hAnsi="宋体" w:eastAsia="宋体"/>
          <w:color w:val="auto"/>
          <w:sz w:val="21"/>
          <w:szCs w:val="21"/>
          <w:highlight w:val="none"/>
        </w:rPr>
        <w:t>（3）投标人提供的《残疾人福利性单位声明函》与事实不符的，依照《政府采购法》第七十七条第一款的规定追究法律责任。</w:t>
      </w:r>
      <w:bookmarkEnd w:id="193"/>
      <w:bookmarkEnd w:id="194"/>
      <w:bookmarkEnd w:id="195"/>
      <w:bookmarkEnd w:id="196"/>
      <w:bookmarkEnd w:id="197"/>
      <w:bookmarkEnd w:id="198"/>
      <w:bookmarkEnd w:id="199"/>
      <w:bookmarkEnd w:id="200"/>
      <w:bookmarkEnd w:id="201"/>
      <w:bookmarkEnd w:id="202"/>
      <w:bookmarkEnd w:id="203"/>
      <w:bookmarkEnd w:id="204"/>
    </w:p>
    <w:p>
      <w:pPr>
        <w:spacing w:after="0" w:line="480" w:lineRule="auto"/>
        <w:ind w:firstLine="420" w:firstLineChars="200"/>
        <w:rPr>
          <w:rFonts w:ascii="宋体" w:hAnsi="宋体" w:eastAsia="宋体"/>
          <w:color w:val="auto"/>
          <w:sz w:val="21"/>
          <w:szCs w:val="21"/>
          <w:highlight w:val="none"/>
        </w:rPr>
      </w:pPr>
      <w:bookmarkStart w:id="205" w:name="_Toc509479534"/>
      <w:bookmarkStart w:id="206" w:name="_Toc509927459"/>
      <w:bookmarkStart w:id="207" w:name="_Toc510171697"/>
      <w:bookmarkStart w:id="208" w:name="_Toc509844829"/>
      <w:bookmarkStart w:id="209" w:name="_Toc18843"/>
      <w:bookmarkStart w:id="210" w:name="_Toc508960157"/>
      <w:bookmarkStart w:id="211" w:name="_Toc5289"/>
      <w:bookmarkStart w:id="212" w:name="_Toc508898070"/>
      <w:bookmarkStart w:id="213" w:name="_Toc508958707"/>
      <w:r>
        <w:rPr>
          <w:rFonts w:hint="eastAsia" w:ascii="宋体" w:hAnsi="宋体" w:eastAsia="宋体"/>
          <w:color w:val="auto"/>
          <w:sz w:val="21"/>
          <w:szCs w:val="21"/>
          <w:highlight w:val="none"/>
        </w:rPr>
        <w:t>（4）残疾人福利性单位视同小型、微型企业，享受评审中价格扣除。残疾人福利性单位属于小型、微型企业的，不重复享受政策。</w:t>
      </w:r>
      <w:bookmarkEnd w:id="205"/>
      <w:bookmarkEnd w:id="206"/>
      <w:bookmarkEnd w:id="207"/>
      <w:bookmarkEnd w:id="208"/>
      <w:bookmarkEnd w:id="209"/>
      <w:bookmarkEnd w:id="210"/>
      <w:bookmarkEnd w:id="211"/>
      <w:bookmarkEnd w:id="212"/>
      <w:bookmarkEnd w:id="213"/>
    </w:p>
    <w:p>
      <w:pPr>
        <w:adjustRightInd/>
        <w:snapToGrid/>
        <w:spacing w:line="276" w:lineRule="auto"/>
        <w:rPr>
          <w:rFonts w:ascii="宋体" w:hAnsi="宋体" w:eastAsia="宋体"/>
          <w:bCs/>
          <w:color w:val="auto"/>
          <w:sz w:val="21"/>
          <w:szCs w:val="21"/>
          <w:highlight w:val="none"/>
        </w:rPr>
      </w:pPr>
      <w:r>
        <w:rPr>
          <w:rFonts w:hint="eastAsia" w:ascii="宋体" w:hAnsi="宋体" w:eastAsia="宋体"/>
          <w:bCs/>
          <w:color w:val="auto"/>
          <w:sz w:val="21"/>
          <w:szCs w:val="21"/>
          <w:highlight w:val="none"/>
        </w:rPr>
        <w:br w:type="page"/>
      </w:r>
    </w:p>
    <w:p>
      <w:pPr>
        <w:pStyle w:val="5"/>
        <w:widowControl w:val="0"/>
        <w:overflowPunct w:val="0"/>
        <w:spacing w:before="0" w:after="0" w:line="240" w:lineRule="auto"/>
        <w:rPr>
          <w:color w:val="auto"/>
          <w:highlight w:val="none"/>
        </w:rPr>
      </w:pPr>
      <w:bookmarkStart w:id="214" w:name="_Toc17460"/>
      <w:r>
        <w:rPr>
          <w:rFonts w:hint="eastAsia" w:ascii="宋体" w:hAnsi="宋体" w:eastAsia="宋体"/>
          <w:color w:val="auto"/>
          <w:sz w:val="21"/>
          <w:szCs w:val="21"/>
          <w:highlight w:val="none"/>
        </w:rPr>
        <w:t>附件20. 投标保证金汇入情况说明格式</w:t>
      </w:r>
      <w:bookmarkEnd w:id="214"/>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本单位已按</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包（</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）的招标文件要求，于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日前以</w:t>
      </w:r>
      <w:r>
        <w:rPr>
          <w:rFonts w:hint="eastAsia" w:ascii="宋体" w:hAnsi="宋体" w:eastAsia="宋体"/>
          <w:color w:val="auto"/>
          <w:sz w:val="21"/>
          <w:szCs w:val="21"/>
          <w:highlight w:val="none"/>
          <w:u w:val="single"/>
        </w:rPr>
        <w:t xml:space="preserve">           （付款形式）</w:t>
      </w:r>
      <w:r>
        <w:rPr>
          <w:rFonts w:hint="eastAsia" w:ascii="宋体" w:hAnsi="宋体" w:eastAsia="宋体"/>
          <w:color w:val="auto"/>
          <w:sz w:val="21"/>
          <w:szCs w:val="21"/>
          <w:highlight w:val="none"/>
        </w:rPr>
        <w:t>方式汇入指定帐户（帐户名称：</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，帐号：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,开户银行：</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本单位投标保证金的汇款情况：（详见附件－投标保证金进帐单）</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汇出时间：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汇款金额：（大写）人民币</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元（小写：￥</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汇款帐户名称：</w:t>
      </w:r>
      <w:r>
        <w:rPr>
          <w:rFonts w:hint="eastAsia" w:ascii="宋体" w:hAnsi="宋体" w:eastAsia="宋体"/>
          <w:color w:val="auto"/>
          <w:sz w:val="21"/>
          <w:szCs w:val="21"/>
          <w:highlight w:val="none"/>
          <w:u w:val="single"/>
        </w:rPr>
        <w:t xml:space="preserve">  （必须是投标时使用的帐户名）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帐        号：</w:t>
      </w:r>
      <w:r>
        <w:rPr>
          <w:rFonts w:hint="eastAsia" w:ascii="宋体" w:hAnsi="宋体" w:eastAsia="宋体"/>
          <w:color w:val="auto"/>
          <w:sz w:val="21"/>
          <w:szCs w:val="21"/>
          <w:highlight w:val="none"/>
          <w:u w:val="single"/>
        </w:rPr>
        <w:t xml:space="preserve">  （必须是投标时使用的帐号）     </w:t>
      </w:r>
    </w:p>
    <w:p>
      <w:pPr>
        <w:spacing w:after="0" w:line="480" w:lineRule="auto"/>
        <w:ind w:firstLine="420" w:firstLineChars="20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开 户  银 行：</w:t>
      </w:r>
      <w:r>
        <w:rPr>
          <w:rFonts w:hint="eastAsia" w:ascii="宋体" w:hAnsi="宋体" w:eastAsia="宋体"/>
          <w:color w:val="auto"/>
          <w:sz w:val="21"/>
          <w:szCs w:val="21"/>
          <w:highlight w:val="none"/>
          <w:u w:val="single"/>
        </w:rPr>
        <w:t xml:space="preserve">  （      银行   分行  支行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投标保证金退回时，请按上述资料退回。</w:t>
      </w:r>
    </w:p>
    <w:p>
      <w:pPr>
        <w:spacing w:after="0" w:line="480" w:lineRule="auto"/>
        <w:ind w:right="884" w:rightChars="402"/>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（单位公章）</w:t>
      </w:r>
    </w:p>
    <w:p>
      <w:pPr>
        <w:spacing w:after="0" w:line="480" w:lineRule="auto"/>
        <w:ind w:right="658" w:rightChars="299"/>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年 月 日</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单位名称：</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单位地址：</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单位电话：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联系人手机：</w:t>
      </w:r>
      <w:r>
        <w:rPr>
          <w:rFonts w:hint="eastAsia" w:ascii="宋体" w:hAnsi="宋体" w:eastAsia="宋体"/>
          <w:color w:val="auto"/>
          <w:sz w:val="21"/>
          <w:szCs w:val="21"/>
          <w:highlight w:val="none"/>
          <w:u w:val="single"/>
        </w:rPr>
        <w:t xml:space="preserve">              </w:t>
      </w:r>
    </w:p>
    <w:p>
      <w:pPr>
        <w:spacing w:after="0"/>
        <w:rPr>
          <w:rFonts w:ascii="宋体" w:hAnsi="宋体" w:eastAsia="宋体"/>
          <w:color w:val="auto"/>
          <w:sz w:val="21"/>
          <w:szCs w:val="21"/>
          <w:highlight w:val="none"/>
        </w:rPr>
      </w:pP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附：我方投标保证金汇款凭证</w:t>
      </w:r>
    </w:p>
    <w:tbl>
      <w:tblPr>
        <w:tblStyle w:val="18"/>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（粘贴汇款单或转账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复印件，并在骑缝上加盖投标人公章，或是直接把转账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复印到此张纸上）</w:t>
            </w:r>
          </w:p>
        </w:tc>
      </w:tr>
    </w:tbl>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keepNext/>
        <w:keepLines/>
        <w:pageBreakBefore w:val="0"/>
        <w:widowControl/>
        <w:kinsoku/>
        <w:wordWrap/>
        <w:overflowPunct/>
        <w:topLinePunct w:val="0"/>
        <w:autoSpaceDE/>
        <w:autoSpaceDN/>
        <w:bidi w:val="0"/>
        <w:adjustRightInd w:val="0"/>
        <w:snapToGrid w:val="0"/>
        <w:spacing w:before="0" w:after="0" w:line="240" w:lineRule="auto"/>
        <w:textAlignment w:val="auto"/>
        <w:rPr>
          <w:rFonts w:hint="eastAsia" w:ascii="宋体" w:hAnsi="宋体" w:eastAsia="宋体" w:cs="宋体"/>
          <w:color w:val="auto"/>
          <w:sz w:val="21"/>
          <w:szCs w:val="21"/>
          <w:highlight w:val="none"/>
        </w:rPr>
      </w:pPr>
      <w:bookmarkStart w:id="215" w:name="_Toc8186"/>
      <w:r>
        <w:rPr>
          <w:rFonts w:hint="eastAsia" w:ascii="宋体" w:hAnsi="宋体" w:eastAsia="宋体" w:cs="宋体"/>
          <w:color w:val="auto"/>
          <w:sz w:val="21"/>
          <w:szCs w:val="21"/>
          <w:highlight w:val="none"/>
        </w:rPr>
        <w:t>附件2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.获取招标文件登记表</w:t>
      </w:r>
      <w:bookmarkEnd w:id="215"/>
    </w:p>
    <w:p>
      <w:pPr>
        <w:pStyle w:val="3"/>
        <w:spacing w:before="0" w:after="0" w:line="240" w:lineRule="auto"/>
        <w:jc w:val="center"/>
        <w:rPr>
          <w:rFonts w:hint="eastAsia" w:ascii="黑体" w:hAnsi="宋体"/>
          <w:color w:val="auto"/>
          <w:sz w:val="44"/>
          <w:szCs w:val="44"/>
          <w:highlight w:val="none"/>
        </w:rPr>
      </w:pPr>
      <w:bookmarkStart w:id="216" w:name="_Toc1968"/>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rPr>
        <w:t>获取</w:t>
      </w:r>
      <w:r>
        <w:rPr>
          <w:rFonts w:hint="eastAsia" w:ascii="黑体" w:hAnsi="黑体" w:eastAsia="黑体" w:cs="黑体"/>
          <w:color w:val="auto"/>
          <w:sz w:val="36"/>
          <w:szCs w:val="36"/>
          <w:highlight w:val="none"/>
          <w:lang w:eastAsia="zh-CN"/>
        </w:rPr>
        <w:t>招标文件</w:t>
      </w:r>
      <w:r>
        <w:rPr>
          <w:rFonts w:hint="eastAsia" w:ascii="黑体" w:hAnsi="黑体" w:eastAsia="黑体" w:cs="黑体"/>
          <w:color w:val="auto"/>
          <w:sz w:val="36"/>
          <w:szCs w:val="36"/>
          <w:highlight w:val="none"/>
        </w:rPr>
        <w:t>登记表</w:t>
      </w:r>
      <w:bookmarkEnd w:id="216"/>
    </w:p>
    <w:tbl>
      <w:tblPr>
        <w:tblStyle w:val="19"/>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获取</w:t>
            </w: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时间</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2021</w:t>
            </w:r>
            <w:r>
              <w:rPr>
                <w:rFonts w:hint="eastAsia" w:ascii="宋体" w:hAnsi="宋体" w:eastAsia="宋体" w:cs="宋体"/>
                <w:color w:val="auto"/>
                <w:sz w:val="32"/>
                <w:szCs w:val="32"/>
                <w:highlight w:val="none"/>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拟投标项目名称</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项目包号</w:t>
            </w:r>
          </w:p>
        </w:tc>
        <w:tc>
          <w:tcPr>
            <w:tcW w:w="5898" w:type="dxa"/>
            <w:vAlign w:val="center"/>
          </w:tcPr>
          <w:p>
            <w:pPr>
              <w:spacing w:after="0"/>
              <w:jc w:val="center"/>
              <w:rPr>
                <w:rFonts w:hint="eastAsia" w:ascii="宋体" w:hAnsi="宋体" w:eastAsia="宋体" w:cs="宋体"/>
                <w:color w:val="auto"/>
                <w:sz w:val="32"/>
                <w:szCs w:val="32"/>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供应商全称</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供应商联系人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手机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传真</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电子邮箱</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单位地址及邮编</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备注</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领取人签名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发售人签名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售价</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人民币150元/份</w:t>
            </w:r>
          </w:p>
        </w:tc>
      </w:tr>
    </w:tbl>
    <w:p>
      <w:pPr>
        <w:rPr>
          <w:rFonts w:ascii="宋体" w:hAnsi="宋体" w:eastAsia="宋体" w:cs="宋体"/>
          <w:color w:val="auto"/>
          <w:sz w:val="21"/>
          <w:szCs w:val="21"/>
          <w:highlight w:val="none"/>
        </w:rPr>
      </w:pPr>
    </w:p>
    <w:p>
      <w:pPr>
        <w:pStyle w:val="2"/>
        <w:rPr>
          <w:color w:val="auto"/>
          <w:highlight w:val="none"/>
        </w:rPr>
      </w:pPr>
    </w:p>
    <w:sectPr>
      <w:footerReference r:id="rId6" w:type="first"/>
      <w:footerReference r:id="rId5"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w:instrText>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rPr>
                              <w:rFonts w:hint="eastAsia"/>
                            </w:rPr>
                            <w:instrText xml:space="preserve">NUMPAGES  \* MERGEFORMAT</w:instrText>
                          </w:r>
                          <w:r>
                            <w:rPr>
                              <w:rFonts w:hint="eastAsia"/>
                              <w:lang w:val="en-US" w:eastAsia="zh-CN"/>
                            </w:rPr>
                            <w:instrText xml:space="preserve"> </w:instrText>
                          </w:r>
                          <w:r>
                            <w:rPr>
                              <w:rFonts w:hint="eastAsia"/>
                              <w:lang w:val="en-US" w:eastAsia="zh-CN"/>
                            </w:rPr>
                            <w:fldChar w:fldCharType="end"/>
                          </w:r>
                          <w:r>
                            <w:rPr>
                              <w:rFonts w:hint="eastAsia"/>
                              <w:lang w:val="en-US" w:eastAsia="zh-CN"/>
                            </w:rPr>
                            <w:instrText xml:space="preserve">-1</w:instrText>
                          </w:r>
                          <w:r>
                            <w:rPr>
                              <w:rFonts w:hint="eastAsia"/>
                            </w:rPr>
                            <w:instrText xml:space="preserve"> </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w:instrText>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rPr>
                        <w:rFonts w:hint="eastAsia"/>
                      </w:rPr>
                      <w:instrText xml:space="preserve">NUMPAGES  \* MERGEFORMAT</w:instrText>
                    </w:r>
                    <w:r>
                      <w:rPr>
                        <w:rFonts w:hint="eastAsia"/>
                        <w:lang w:val="en-US" w:eastAsia="zh-CN"/>
                      </w:rPr>
                      <w:instrText xml:space="preserve"> </w:instrText>
                    </w:r>
                    <w:r>
                      <w:rPr>
                        <w:rFonts w:hint="eastAsia"/>
                        <w:lang w:val="en-US" w:eastAsia="zh-CN"/>
                      </w:rPr>
                      <w:fldChar w:fldCharType="end"/>
                    </w:r>
                    <w:r>
                      <w:rPr>
                        <w:rFonts w:hint="eastAsia"/>
                        <w:lang w:val="en-US" w:eastAsia="zh-CN"/>
                      </w:rPr>
                      <w:instrText xml:space="preserve">-1</w:instrText>
                    </w:r>
                    <w:r>
                      <w:rPr>
                        <w:rFonts w:hint="eastAsia"/>
                      </w:rPr>
                      <w:instrText xml:space="preserve"> </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rPr>
                              <w:rFonts w:hint="eastAsia"/>
                            </w:rPr>
                            <w:instrText xml:space="preserve"> NUMPAGES  \* MERGEFORMAT </w:instrText>
                          </w:r>
                          <w:r>
                            <w:rPr>
                              <w:rFonts w:hint="eastAsia"/>
                              <w:lang w:val="en-US" w:eastAsia="zh-CN"/>
                            </w:rPr>
                            <w:instrText xml:space="preserve"> </w:instrText>
                          </w:r>
                          <w:r>
                            <w:rPr>
                              <w:rFonts w:hint="eastAsia"/>
                              <w:lang w:val="en-US" w:eastAsia="zh-CN"/>
                            </w:rPr>
                            <w:fldChar w:fldCharType="end"/>
                          </w:r>
                          <w:r>
                            <w:rPr>
                              <w:rFonts w:hint="eastAsia"/>
                              <w:lang w:val="en-US" w:eastAsia="zh-CN"/>
                            </w:rPr>
                            <w:instrText xml:space="preserve">-1</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YWswBAACZAwAADgAAAGRycy9lMm9Eb2MueG1srVNLbtswEN0XyB0I&#10;7mPJLlK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G9ha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rPr>
                        <w:rFonts w:hint="eastAsia"/>
                      </w:rPr>
                      <w:instrText xml:space="preserve"> NUMPAGES  \* MERGEFORMAT </w:instrText>
                    </w:r>
                    <w:r>
                      <w:rPr>
                        <w:rFonts w:hint="eastAsia"/>
                        <w:lang w:val="en-US" w:eastAsia="zh-CN"/>
                      </w:rPr>
                      <w:instrText xml:space="preserve"> </w:instrText>
                    </w:r>
                    <w:r>
                      <w:rPr>
                        <w:rFonts w:hint="eastAsia"/>
                        <w:lang w:val="en-US" w:eastAsia="zh-CN"/>
                      </w:rPr>
                      <w:fldChar w:fldCharType="end"/>
                    </w:r>
                    <w:r>
                      <w:rPr>
                        <w:rFonts w:hint="eastAsia"/>
                        <w:lang w:val="en-US" w:eastAsia="zh-CN"/>
                      </w:rPr>
                      <w:instrText xml:space="preserve">-1</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14"/>
        <w:snapToGrid w:val="0"/>
        <w:rPr>
          <w:rFonts w:hint="eastAsia" w:ascii="宋体" w:hAnsi="宋体" w:eastAsia="宋体" w:cs="宋体"/>
          <w:lang w:eastAsia="zh-CN"/>
        </w:rPr>
      </w:pPr>
      <w:r>
        <w:rPr>
          <w:rStyle w:val="23"/>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eastAsia="zh-CN"/>
        </w:rPr>
        <w:t>从业人员、营业人员、资产总额填报上一年度数据，无上一年度数据的新成立企业可不填报。</w:t>
      </w:r>
    </w:p>
  </w:footnote>
  <w:footnote w:id="1">
    <w:p>
      <w:pPr>
        <w:pStyle w:val="14"/>
        <w:snapToGrid w:val="0"/>
        <w:rPr>
          <w:rFonts w:hint="eastAsia" w:ascii="宋体" w:hAnsi="宋体" w:eastAsia="宋体" w:cs="宋体"/>
        </w:rPr>
      </w:pPr>
      <w:r>
        <w:rPr>
          <w:rStyle w:val="23"/>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eastAsia="zh-CN"/>
        </w:rPr>
        <w:t>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lang w:eastAsia="zh-CN"/>
      </w:rPr>
      <w:t>国内</w:t>
    </w:r>
    <w:r>
      <w:rPr>
        <w:rFonts w:hint="eastAsia"/>
      </w:rPr>
      <w:t>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945B29EF"/>
    <w:multiLevelType w:val="singleLevel"/>
    <w:tmpl w:val="945B29EF"/>
    <w:lvl w:ilvl="0" w:tentative="0">
      <w:start w:val="1"/>
      <w:numFmt w:val="decimal"/>
      <w:suff w:val="nothing"/>
      <w:lvlText w:val="（%1）"/>
      <w:lvlJc w:val="left"/>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E09EF6E1"/>
    <w:multiLevelType w:val="singleLevel"/>
    <w:tmpl w:val="E09EF6E1"/>
    <w:lvl w:ilvl="0" w:tentative="0">
      <w:start w:val="1"/>
      <w:numFmt w:val="decimal"/>
      <w:suff w:val="nothing"/>
      <w:lvlText w:val="（%1）"/>
      <w:lvlJc w:val="left"/>
    </w:lvl>
  </w:abstractNum>
  <w:abstractNum w:abstractNumId="5">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3F88662E"/>
    <w:multiLevelType w:val="singleLevel"/>
    <w:tmpl w:val="3F88662E"/>
    <w:lvl w:ilvl="0" w:tentative="0">
      <w:start w:val="1"/>
      <w:numFmt w:val="decimal"/>
      <w:suff w:val="space"/>
      <w:lvlText w:val="%1)"/>
      <w:lvlJc w:val="left"/>
    </w:lvl>
  </w:abstractNum>
  <w:abstractNum w:abstractNumId="8">
    <w:nsid w:val="3F8A5608"/>
    <w:multiLevelType w:val="multilevel"/>
    <w:tmpl w:val="3F8A5608"/>
    <w:lvl w:ilvl="0" w:tentative="0">
      <w:start w:val="1"/>
      <w:numFmt w:val="decimal"/>
      <w:pStyle w:val="17"/>
      <w:lvlText w:val="%1、"/>
      <w:lvlJc w:val="left"/>
      <w:pPr>
        <w:tabs>
          <w:tab w:val="left" w:pos="420"/>
        </w:tabs>
        <w:ind w:left="840" w:hanging="420"/>
      </w:pPr>
      <w:rPr>
        <w:rFonts w:hint="eastAsia"/>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9">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8"/>
  </w:num>
  <w:num w:numId="2">
    <w:abstractNumId w:val="1"/>
  </w:num>
  <w:num w:numId="3">
    <w:abstractNumId w:val="9"/>
  </w:num>
  <w:num w:numId="4">
    <w:abstractNumId w:val="6"/>
  </w:num>
  <w:num w:numId="5">
    <w:abstractNumId w:val="11"/>
  </w:num>
  <w:num w:numId="6">
    <w:abstractNumId w:val="7"/>
  </w:num>
  <w:num w:numId="7">
    <w:abstractNumId w:val="4"/>
  </w:num>
  <w:num w:numId="8">
    <w:abstractNumId w:val="2"/>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4"/>
    <w:footnote w:id="5"/>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7AE0"/>
    <w:rsid w:val="00260AC1"/>
    <w:rsid w:val="0026312D"/>
    <w:rsid w:val="0027078E"/>
    <w:rsid w:val="00284156"/>
    <w:rsid w:val="00285643"/>
    <w:rsid w:val="002867A1"/>
    <w:rsid w:val="002901F8"/>
    <w:rsid w:val="002B4087"/>
    <w:rsid w:val="002B5F6C"/>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491E"/>
    <w:rsid w:val="006B7878"/>
    <w:rsid w:val="006C14BD"/>
    <w:rsid w:val="006C28E5"/>
    <w:rsid w:val="006D393E"/>
    <w:rsid w:val="006D4AD8"/>
    <w:rsid w:val="006E0B58"/>
    <w:rsid w:val="006E0C4B"/>
    <w:rsid w:val="007110BA"/>
    <w:rsid w:val="00711465"/>
    <w:rsid w:val="00723B11"/>
    <w:rsid w:val="007343A7"/>
    <w:rsid w:val="00734BB2"/>
    <w:rsid w:val="0075028E"/>
    <w:rsid w:val="007608B9"/>
    <w:rsid w:val="007724B4"/>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E398C"/>
    <w:rsid w:val="009E6F05"/>
    <w:rsid w:val="00A10906"/>
    <w:rsid w:val="00A14EEF"/>
    <w:rsid w:val="00A61230"/>
    <w:rsid w:val="00A813C5"/>
    <w:rsid w:val="00A824E6"/>
    <w:rsid w:val="00A858DC"/>
    <w:rsid w:val="00A94D14"/>
    <w:rsid w:val="00AB19CE"/>
    <w:rsid w:val="00AB3969"/>
    <w:rsid w:val="00AC187B"/>
    <w:rsid w:val="00AE310E"/>
    <w:rsid w:val="00AE4FC5"/>
    <w:rsid w:val="00AF5F1F"/>
    <w:rsid w:val="00B027A4"/>
    <w:rsid w:val="00B236B3"/>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61D2E"/>
    <w:rsid w:val="00E62B7F"/>
    <w:rsid w:val="00E726BC"/>
    <w:rsid w:val="00E72821"/>
    <w:rsid w:val="00E81DDC"/>
    <w:rsid w:val="00E81F67"/>
    <w:rsid w:val="00E83650"/>
    <w:rsid w:val="00E83A31"/>
    <w:rsid w:val="00E97CC0"/>
    <w:rsid w:val="00EA2524"/>
    <w:rsid w:val="00EC092D"/>
    <w:rsid w:val="00EC0DF8"/>
    <w:rsid w:val="00ED378B"/>
    <w:rsid w:val="00EE08F9"/>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2A741FD"/>
    <w:rsid w:val="02C16E5D"/>
    <w:rsid w:val="02D964CF"/>
    <w:rsid w:val="03707410"/>
    <w:rsid w:val="037E51CC"/>
    <w:rsid w:val="03A0770F"/>
    <w:rsid w:val="03A448B8"/>
    <w:rsid w:val="047B4012"/>
    <w:rsid w:val="04DF1036"/>
    <w:rsid w:val="051731D3"/>
    <w:rsid w:val="05A97DEC"/>
    <w:rsid w:val="05B23978"/>
    <w:rsid w:val="05C81981"/>
    <w:rsid w:val="062F725A"/>
    <w:rsid w:val="06BC41F2"/>
    <w:rsid w:val="07197D08"/>
    <w:rsid w:val="071E5C55"/>
    <w:rsid w:val="077005AB"/>
    <w:rsid w:val="078F4581"/>
    <w:rsid w:val="07BF027F"/>
    <w:rsid w:val="07D07F2B"/>
    <w:rsid w:val="08031A31"/>
    <w:rsid w:val="09061A75"/>
    <w:rsid w:val="09182241"/>
    <w:rsid w:val="09855177"/>
    <w:rsid w:val="0AA534D5"/>
    <w:rsid w:val="0AA650EB"/>
    <w:rsid w:val="0AF47339"/>
    <w:rsid w:val="0B22594B"/>
    <w:rsid w:val="0BDF26F7"/>
    <w:rsid w:val="0C2B4952"/>
    <w:rsid w:val="0C7B2220"/>
    <w:rsid w:val="0D133046"/>
    <w:rsid w:val="0D890E47"/>
    <w:rsid w:val="0DC64A00"/>
    <w:rsid w:val="0DFC60BA"/>
    <w:rsid w:val="0E553ACE"/>
    <w:rsid w:val="0EE56797"/>
    <w:rsid w:val="0F7C5FF6"/>
    <w:rsid w:val="0FC63FBD"/>
    <w:rsid w:val="0FEE4150"/>
    <w:rsid w:val="103927A8"/>
    <w:rsid w:val="106C564D"/>
    <w:rsid w:val="107B7B8F"/>
    <w:rsid w:val="107C67CE"/>
    <w:rsid w:val="109101B1"/>
    <w:rsid w:val="109D68CB"/>
    <w:rsid w:val="10A949B8"/>
    <w:rsid w:val="11200D07"/>
    <w:rsid w:val="11DA73AF"/>
    <w:rsid w:val="12C60D80"/>
    <w:rsid w:val="131F7A3A"/>
    <w:rsid w:val="132645D0"/>
    <w:rsid w:val="13455ABC"/>
    <w:rsid w:val="135624DC"/>
    <w:rsid w:val="1370322B"/>
    <w:rsid w:val="143B2E0B"/>
    <w:rsid w:val="14892735"/>
    <w:rsid w:val="14CC769D"/>
    <w:rsid w:val="15D359D7"/>
    <w:rsid w:val="163C77BE"/>
    <w:rsid w:val="1679588C"/>
    <w:rsid w:val="16994962"/>
    <w:rsid w:val="16A71041"/>
    <w:rsid w:val="16AA24BF"/>
    <w:rsid w:val="17680CAB"/>
    <w:rsid w:val="176E4128"/>
    <w:rsid w:val="1783371F"/>
    <w:rsid w:val="17E62B67"/>
    <w:rsid w:val="180F4499"/>
    <w:rsid w:val="18221ECE"/>
    <w:rsid w:val="183C3D90"/>
    <w:rsid w:val="1A460CF5"/>
    <w:rsid w:val="1A7F297D"/>
    <w:rsid w:val="1AB16AC1"/>
    <w:rsid w:val="1B034A52"/>
    <w:rsid w:val="1B0D3B4E"/>
    <w:rsid w:val="1B6D79D0"/>
    <w:rsid w:val="1C750ECE"/>
    <w:rsid w:val="1D196139"/>
    <w:rsid w:val="1E010AF7"/>
    <w:rsid w:val="1E301173"/>
    <w:rsid w:val="1F43381C"/>
    <w:rsid w:val="1FA4148D"/>
    <w:rsid w:val="20121621"/>
    <w:rsid w:val="204E554F"/>
    <w:rsid w:val="20590035"/>
    <w:rsid w:val="20FC799E"/>
    <w:rsid w:val="21286DA7"/>
    <w:rsid w:val="21394C6D"/>
    <w:rsid w:val="21434D8C"/>
    <w:rsid w:val="22154DDD"/>
    <w:rsid w:val="22336873"/>
    <w:rsid w:val="23BB4E7D"/>
    <w:rsid w:val="23C172D6"/>
    <w:rsid w:val="23E6195D"/>
    <w:rsid w:val="23F04F64"/>
    <w:rsid w:val="24814CBE"/>
    <w:rsid w:val="24AC168B"/>
    <w:rsid w:val="254D0389"/>
    <w:rsid w:val="258C3BEC"/>
    <w:rsid w:val="25E5427A"/>
    <w:rsid w:val="25EE76C7"/>
    <w:rsid w:val="263B1230"/>
    <w:rsid w:val="27B36A67"/>
    <w:rsid w:val="2846581F"/>
    <w:rsid w:val="286602C8"/>
    <w:rsid w:val="28665C95"/>
    <w:rsid w:val="28F579BA"/>
    <w:rsid w:val="290B3EB9"/>
    <w:rsid w:val="2950768C"/>
    <w:rsid w:val="297A5FC4"/>
    <w:rsid w:val="298B384A"/>
    <w:rsid w:val="2A8D4F8F"/>
    <w:rsid w:val="2A917B34"/>
    <w:rsid w:val="2AE3766F"/>
    <w:rsid w:val="2B7E4054"/>
    <w:rsid w:val="2C987C56"/>
    <w:rsid w:val="2CE636B8"/>
    <w:rsid w:val="2CFF149A"/>
    <w:rsid w:val="2D201865"/>
    <w:rsid w:val="2D4B5CEA"/>
    <w:rsid w:val="2D652658"/>
    <w:rsid w:val="2DC80C49"/>
    <w:rsid w:val="2DCA6355"/>
    <w:rsid w:val="2E166748"/>
    <w:rsid w:val="2E556F01"/>
    <w:rsid w:val="2E8E20B4"/>
    <w:rsid w:val="2ED06066"/>
    <w:rsid w:val="2ED1223D"/>
    <w:rsid w:val="2F000139"/>
    <w:rsid w:val="2F9F42DC"/>
    <w:rsid w:val="2FF37AB3"/>
    <w:rsid w:val="30CD7ED7"/>
    <w:rsid w:val="31170995"/>
    <w:rsid w:val="31264A30"/>
    <w:rsid w:val="31884E67"/>
    <w:rsid w:val="31A0275E"/>
    <w:rsid w:val="32AB70C5"/>
    <w:rsid w:val="335D0AF5"/>
    <w:rsid w:val="3370088C"/>
    <w:rsid w:val="33DC2F78"/>
    <w:rsid w:val="33E45C15"/>
    <w:rsid w:val="33E74D0E"/>
    <w:rsid w:val="3428227C"/>
    <w:rsid w:val="35602226"/>
    <w:rsid w:val="356B72E7"/>
    <w:rsid w:val="3572424F"/>
    <w:rsid w:val="367801A9"/>
    <w:rsid w:val="36AD519D"/>
    <w:rsid w:val="36B57705"/>
    <w:rsid w:val="37122320"/>
    <w:rsid w:val="37A103ED"/>
    <w:rsid w:val="37A52A96"/>
    <w:rsid w:val="37EA5E6E"/>
    <w:rsid w:val="37FF016F"/>
    <w:rsid w:val="387C5ABE"/>
    <w:rsid w:val="38EB6119"/>
    <w:rsid w:val="39164185"/>
    <w:rsid w:val="3A51228C"/>
    <w:rsid w:val="3A552E60"/>
    <w:rsid w:val="3A5D642F"/>
    <w:rsid w:val="3AB210FC"/>
    <w:rsid w:val="3B793A48"/>
    <w:rsid w:val="3BCD72F7"/>
    <w:rsid w:val="3C1655C8"/>
    <w:rsid w:val="3C3D3625"/>
    <w:rsid w:val="3C414142"/>
    <w:rsid w:val="3CC75E4F"/>
    <w:rsid w:val="3CF737A2"/>
    <w:rsid w:val="3D10295A"/>
    <w:rsid w:val="3E0572FD"/>
    <w:rsid w:val="3E5A7FE7"/>
    <w:rsid w:val="3EF66B2E"/>
    <w:rsid w:val="3F217914"/>
    <w:rsid w:val="3FD70BB0"/>
    <w:rsid w:val="3FFB55AC"/>
    <w:rsid w:val="401C5F9D"/>
    <w:rsid w:val="401C690C"/>
    <w:rsid w:val="401D7195"/>
    <w:rsid w:val="40CE3DC0"/>
    <w:rsid w:val="40D7455A"/>
    <w:rsid w:val="40E743E5"/>
    <w:rsid w:val="412D5EA0"/>
    <w:rsid w:val="41734CBA"/>
    <w:rsid w:val="420F7A65"/>
    <w:rsid w:val="4216611A"/>
    <w:rsid w:val="423E300F"/>
    <w:rsid w:val="425656C8"/>
    <w:rsid w:val="4257273C"/>
    <w:rsid w:val="42FD694D"/>
    <w:rsid w:val="43FA5777"/>
    <w:rsid w:val="441C1611"/>
    <w:rsid w:val="443C440B"/>
    <w:rsid w:val="44514F52"/>
    <w:rsid w:val="44D0586F"/>
    <w:rsid w:val="44FA2D53"/>
    <w:rsid w:val="4571374F"/>
    <w:rsid w:val="458B1BB0"/>
    <w:rsid w:val="467A0297"/>
    <w:rsid w:val="468B7125"/>
    <w:rsid w:val="46C4691F"/>
    <w:rsid w:val="47830DE1"/>
    <w:rsid w:val="479D1D34"/>
    <w:rsid w:val="47B609C0"/>
    <w:rsid w:val="482D31EA"/>
    <w:rsid w:val="485970A0"/>
    <w:rsid w:val="48823516"/>
    <w:rsid w:val="48B65C71"/>
    <w:rsid w:val="492E6A57"/>
    <w:rsid w:val="4A0030EE"/>
    <w:rsid w:val="4B8C2DEB"/>
    <w:rsid w:val="4BFA3C9F"/>
    <w:rsid w:val="4C107F48"/>
    <w:rsid w:val="4C3277BC"/>
    <w:rsid w:val="4CC353EB"/>
    <w:rsid w:val="4CF36F3C"/>
    <w:rsid w:val="4D603399"/>
    <w:rsid w:val="4D867EE1"/>
    <w:rsid w:val="4DBC4C65"/>
    <w:rsid w:val="4E550010"/>
    <w:rsid w:val="4E5F14CB"/>
    <w:rsid w:val="4F3705F8"/>
    <w:rsid w:val="4FAC3540"/>
    <w:rsid w:val="4FCF1583"/>
    <w:rsid w:val="4FFA7625"/>
    <w:rsid w:val="507D2599"/>
    <w:rsid w:val="50896757"/>
    <w:rsid w:val="5096229D"/>
    <w:rsid w:val="50DC4184"/>
    <w:rsid w:val="50F641E1"/>
    <w:rsid w:val="514C3EA7"/>
    <w:rsid w:val="52AC4ABC"/>
    <w:rsid w:val="539C1B81"/>
    <w:rsid w:val="53A447B1"/>
    <w:rsid w:val="53AE750F"/>
    <w:rsid w:val="54532441"/>
    <w:rsid w:val="549A6BFA"/>
    <w:rsid w:val="55FA2961"/>
    <w:rsid w:val="564220BA"/>
    <w:rsid w:val="565E7F4F"/>
    <w:rsid w:val="56914056"/>
    <w:rsid w:val="57221508"/>
    <w:rsid w:val="57293C95"/>
    <w:rsid w:val="57F65317"/>
    <w:rsid w:val="57FC2169"/>
    <w:rsid w:val="58096275"/>
    <w:rsid w:val="582E6EF7"/>
    <w:rsid w:val="584E30E6"/>
    <w:rsid w:val="59247405"/>
    <w:rsid w:val="597B384D"/>
    <w:rsid w:val="59996DA8"/>
    <w:rsid w:val="59C30F1B"/>
    <w:rsid w:val="5AC7121C"/>
    <w:rsid w:val="5AD90B8D"/>
    <w:rsid w:val="5AE12927"/>
    <w:rsid w:val="5B4E1A44"/>
    <w:rsid w:val="5B873201"/>
    <w:rsid w:val="5B967767"/>
    <w:rsid w:val="5C286807"/>
    <w:rsid w:val="5C446BC8"/>
    <w:rsid w:val="5C5D2CA4"/>
    <w:rsid w:val="5C7C2768"/>
    <w:rsid w:val="5CB23AE6"/>
    <w:rsid w:val="5D0D6DF5"/>
    <w:rsid w:val="5D893B14"/>
    <w:rsid w:val="5E843793"/>
    <w:rsid w:val="5EA06921"/>
    <w:rsid w:val="5FBE370A"/>
    <w:rsid w:val="60292845"/>
    <w:rsid w:val="612E1A5D"/>
    <w:rsid w:val="61816046"/>
    <w:rsid w:val="62391564"/>
    <w:rsid w:val="62816669"/>
    <w:rsid w:val="62BA0953"/>
    <w:rsid w:val="62D03A7C"/>
    <w:rsid w:val="62F648FE"/>
    <w:rsid w:val="636F7F03"/>
    <w:rsid w:val="63A10995"/>
    <w:rsid w:val="63B92874"/>
    <w:rsid w:val="63C23EFA"/>
    <w:rsid w:val="643A070A"/>
    <w:rsid w:val="644C573D"/>
    <w:rsid w:val="65032F85"/>
    <w:rsid w:val="65136B50"/>
    <w:rsid w:val="657E2A35"/>
    <w:rsid w:val="65A94E9D"/>
    <w:rsid w:val="65C60A92"/>
    <w:rsid w:val="66A12460"/>
    <w:rsid w:val="66DD6702"/>
    <w:rsid w:val="67F07ACB"/>
    <w:rsid w:val="682A2352"/>
    <w:rsid w:val="68AD17BB"/>
    <w:rsid w:val="68D94D22"/>
    <w:rsid w:val="692B2E4A"/>
    <w:rsid w:val="694F77D7"/>
    <w:rsid w:val="696A0B34"/>
    <w:rsid w:val="698D6A17"/>
    <w:rsid w:val="69F954C1"/>
    <w:rsid w:val="6A2031B6"/>
    <w:rsid w:val="6A2F57D7"/>
    <w:rsid w:val="6AC61F6F"/>
    <w:rsid w:val="6ADE74F0"/>
    <w:rsid w:val="6B723594"/>
    <w:rsid w:val="6B805156"/>
    <w:rsid w:val="6BC75C65"/>
    <w:rsid w:val="6BD50977"/>
    <w:rsid w:val="6BE60C84"/>
    <w:rsid w:val="6CAA3931"/>
    <w:rsid w:val="6D3933CA"/>
    <w:rsid w:val="6D7B61EC"/>
    <w:rsid w:val="6E09491E"/>
    <w:rsid w:val="6E0D3655"/>
    <w:rsid w:val="6E5F4465"/>
    <w:rsid w:val="6E8C54DA"/>
    <w:rsid w:val="6EF11E03"/>
    <w:rsid w:val="6F111C62"/>
    <w:rsid w:val="6F2176E5"/>
    <w:rsid w:val="6F273651"/>
    <w:rsid w:val="6F592303"/>
    <w:rsid w:val="6F5F5B74"/>
    <w:rsid w:val="6F9B1C65"/>
    <w:rsid w:val="6FFB146E"/>
    <w:rsid w:val="706516C3"/>
    <w:rsid w:val="70896E68"/>
    <w:rsid w:val="714E561F"/>
    <w:rsid w:val="715B60E9"/>
    <w:rsid w:val="71EA1FED"/>
    <w:rsid w:val="730313F6"/>
    <w:rsid w:val="73370D24"/>
    <w:rsid w:val="7359268C"/>
    <w:rsid w:val="739503EB"/>
    <w:rsid w:val="73A05B28"/>
    <w:rsid w:val="73C07D69"/>
    <w:rsid w:val="74B42AE4"/>
    <w:rsid w:val="750A429D"/>
    <w:rsid w:val="75614792"/>
    <w:rsid w:val="75784473"/>
    <w:rsid w:val="75B161B3"/>
    <w:rsid w:val="76736B32"/>
    <w:rsid w:val="768925E3"/>
    <w:rsid w:val="76E3765E"/>
    <w:rsid w:val="76FC2AFA"/>
    <w:rsid w:val="77653671"/>
    <w:rsid w:val="778546CC"/>
    <w:rsid w:val="77B56730"/>
    <w:rsid w:val="77C04A8B"/>
    <w:rsid w:val="77D85DB3"/>
    <w:rsid w:val="78A50513"/>
    <w:rsid w:val="796518DD"/>
    <w:rsid w:val="79AA0532"/>
    <w:rsid w:val="79FE1DDD"/>
    <w:rsid w:val="7A075767"/>
    <w:rsid w:val="7A212062"/>
    <w:rsid w:val="7A282A11"/>
    <w:rsid w:val="7A3A59B8"/>
    <w:rsid w:val="7AC21562"/>
    <w:rsid w:val="7AD474A4"/>
    <w:rsid w:val="7B8D34C3"/>
    <w:rsid w:val="7B971D84"/>
    <w:rsid w:val="7BD277CC"/>
    <w:rsid w:val="7BF32F03"/>
    <w:rsid w:val="7C1724A5"/>
    <w:rsid w:val="7CA54112"/>
    <w:rsid w:val="7CAB27F5"/>
    <w:rsid w:val="7CE50CE4"/>
    <w:rsid w:val="7D2E5ABF"/>
    <w:rsid w:val="7E2142A2"/>
    <w:rsid w:val="7E7B0BF2"/>
    <w:rsid w:val="7E8D75B6"/>
    <w:rsid w:val="7EF7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161"/>
      <w:ind w:left="120"/>
    </w:pPr>
    <w:rPr>
      <w:rFonts w:ascii="宋体" w:hAnsi="宋体" w:eastAsia="宋体" w:cs="宋体"/>
      <w:sz w:val="24"/>
      <w:lang w:val="zh-CN" w:bidi="zh-CN"/>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8"/>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41"/>
    <w:semiHidden/>
    <w:unhideWhenUsed/>
    <w:qFormat/>
    <w:uiPriority w:val="99"/>
    <w:pPr>
      <w:spacing w:after="0"/>
    </w:pPr>
    <w:rPr>
      <w:sz w:val="18"/>
      <w:szCs w:val="18"/>
    </w:rPr>
  </w:style>
  <w:style w:type="paragraph" w:styleId="10">
    <w:name w:val="footer"/>
    <w:basedOn w:val="1"/>
    <w:link w:val="40"/>
    <w:unhideWhenUsed/>
    <w:qFormat/>
    <w:uiPriority w:val="99"/>
    <w:pPr>
      <w:tabs>
        <w:tab w:val="center" w:pos="4153"/>
        <w:tab w:val="right" w:pos="8306"/>
      </w:tabs>
    </w:pPr>
    <w:rPr>
      <w:sz w:val="18"/>
      <w:szCs w:val="18"/>
    </w:rPr>
  </w:style>
  <w:style w:type="paragraph" w:styleId="11">
    <w:name w:val="header"/>
    <w:basedOn w:val="1"/>
    <w:link w:val="39"/>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footnote text"/>
    <w:basedOn w:val="1"/>
    <w:semiHidden/>
    <w:unhideWhenUsed/>
    <w:qFormat/>
    <w:uiPriority w:val="99"/>
    <w:pPr>
      <w:snapToGrid w:val="0"/>
      <w:jc w:val="left"/>
    </w:pPr>
    <w:rPr>
      <w:sz w:val="18"/>
    </w:rPr>
  </w:style>
  <w:style w:type="paragraph" w:styleId="15">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6">
    <w:name w:val="Normal (Web)"/>
    <w:basedOn w:val="1"/>
    <w:link w:val="43"/>
    <w:qFormat/>
    <w:uiPriority w:val="0"/>
    <w:pPr>
      <w:widowControl w:val="0"/>
      <w:adjustRightInd/>
      <w:snapToGrid/>
      <w:spacing w:after="0"/>
      <w:jc w:val="both"/>
    </w:pPr>
    <w:rPr>
      <w:rFonts w:eastAsia="宋体" w:asciiTheme="minorHAnsi" w:hAnsiTheme="minorHAnsi"/>
      <w:kern w:val="2"/>
      <w:sz w:val="24"/>
      <w:szCs w:val="24"/>
    </w:rPr>
  </w:style>
  <w:style w:type="paragraph" w:styleId="17">
    <w:name w:val="Body Text First Indent"/>
    <w:basedOn w:val="2"/>
    <w:qFormat/>
    <w:uiPriority w:val="0"/>
    <w:pPr>
      <w:numPr>
        <w:ilvl w:val="0"/>
        <w:numId w:val="1"/>
      </w:numPr>
      <w:tabs>
        <w:tab w:val="clear" w:pos="420"/>
      </w:tabs>
      <w:spacing w:line="360" w:lineRule="auto"/>
      <w:ind w:left="0" w:firstLine="420" w:firstLineChars="100"/>
    </w:pPr>
    <w:rPr>
      <w:rFonts w:ascii="Calibri" w:hAnsi="Calibri"/>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mphasis"/>
    <w:basedOn w:val="20"/>
    <w:qFormat/>
    <w:uiPriority w:val="20"/>
    <w:rPr>
      <w:i/>
      <w:iCs/>
    </w:rPr>
  </w:style>
  <w:style w:type="character" w:styleId="22">
    <w:name w:val="Hyperlink"/>
    <w:qFormat/>
    <w:uiPriority w:val="99"/>
    <w:rPr>
      <w:rFonts w:hint="eastAsia" w:ascii="宋体" w:hAnsi="宋体" w:eastAsia="宋体" w:cs="宋体"/>
      <w:b/>
      <w:color w:val="0031C1"/>
      <w:kern w:val="0"/>
      <w:sz w:val="18"/>
      <w:szCs w:val="18"/>
      <w:u w:val="none"/>
      <w:lang w:eastAsia="en-US"/>
    </w:rPr>
  </w:style>
  <w:style w:type="character" w:styleId="23">
    <w:name w:val="footnote reference"/>
    <w:basedOn w:val="20"/>
    <w:semiHidden/>
    <w:unhideWhenUsed/>
    <w:qFormat/>
    <w:uiPriority w:val="99"/>
    <w:rPr>
      <w:vertAlign w:val="superscript"/>
    </w:rPr>
  </w:style>
  <w:style w:type="character" w:customStyle="1" w:styleId="24">
    <w:name w:val="标题 2 字符"/>
    <w:basedOn w:val="20"/>
    <w:link w:val="3"/>
    <w:qFormat/>
    <w:uiPriority w:val="9"/>
    <w:rPr>
      <w:rFonts w:asciiTheme="majorHAnsi" w:hAnsiTheme="majorHAnsi" w:eastAsiaTheme="majorEastAsia" w:cstheme="majorBidi"/>
      <w:b/>
      <w:bCs/>
      <w:sz w:val="32"/>
      <w:szCs w:val="32"/>
    </w:rPr>
  </w:style>
  <w:style w:type="character" w:customStyle="1" w:styleId="25">
    <w:name w:val="标题 3 字符"/>
    <w:basedOn w:val="20"/>
    <w:link w:val="4"/>
    <w:qFormat/>
    <w:uiPriority w:val="9"/>
    <w:rPr>
      <w:rFonts w:ascii="Tahoma" w:hAnsi="Tahoma"/>
      <w:b/>
      <w:bCs/>
      <w:sz w:val="32"/>
      <w:szCs w:val="32"/>
    </w:rPr>
  </w:style>
  <w:style w:type="paragraph" w:styleId="26">
    <w:name w:val="List Paragraph"/>
    <w:basedOn w:val="1"/>
    <w:qFormat/>
    <w:uiPriority w:val="34"/>
    <w:pPr>
      <w:ind w:firstLine="420" w:firstLineChars="200"/>
    </w:pPr>
  </w:style>
  <w:style w:type="character" w:customStyle="1" w:styleId="27">
    <w:name w:val="标题 4 字符"/>
    <w:basedOn w:val="20"/>
    <w:link w:val="5"/>
    <w:qFormat/>
    <w:uiPriority w:val="9"/>
    <w:rPr>
      <w:rFonts w:asciiTheme="majorHAnsi" w:hAnsiTheme="majorHAnsi" w:eastAsiaTheme="majorEastAsia" w:cstheme="majorBidi"/>
      <w:b/>
      <w:bCs/>
      <w:sz w:val="28"/>
      <w:szCs w:val="28"/>
    </w:rPr>
  </w:style>
  <w:style w:type="character" w:customStyle="1" w:styleId="28">
    <w:name w:val="正文缩进2格 Char"/>
    <w:link w:val="29"/>
    <w:qFormat/>
    <w:uiPriority w:val="0"/>
    <w:rPr>
      <w:rFonts w:ascii="仿宋_GB2312" w:hAnsi="宋体" w:eastAsia="仿宋_GB2312"/>
      <w:kern w:val="2"/>
      <w:sz w:val="31"/>
    </w:rPr>
  </w:style>
  <w:style w:type="paragraph" w:customStyle="1" w:styleId="29">
    <w:name w:val="正文缩进2格"/>
    <w:basedOn w:val="1"/>
    <w:link w:val="28"/>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30">
    <w:name w:val="正文缩进4格"/>
    <w:basedOn w:val="29"/>
    <w:qFormat/>
    <w:uiPriority w:val="0"/>
    <w:pPr>
      <w:ind w:left="2" w:firstLine="538" w:firstLineChars="192"/>
    </w:pPr>
    <w:rPr>
      <w:color w:val="0000FF"/>
      <w:sz w:val="28"/>
    </w:rPr>
  </w:style>
  <w:style w:type="character" w:customStyle="1" w:styleId="31">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2">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3">
    <w:name w:val="标题1"/>
    <w:qFormat/>
    <w:uiPriority w:val="0"/>
    <w:rPr>
      <w:rFonts w:ascii="Times New Roman" w:hAnsi="Times New Roman" w:eastAsia="宋体" w:cs="Times New Roman"/>
      <w:b/>
      <w:kern w:val="0"/>
      <w:sz w:val="24"/>
      <w:szCs w:val="20"/>
      <w:lang w:eastAsia="en-US"/>
    </w:rPr>
  </w:style>
  <w:style w:type="character" w:customStyle="1" w:styleId="34">
    <w:name w:val="标题 3.1 Char"/>
    <w:link w:val="35"/>
    <w:qFormat/>
    <w:uiPriority w:val="0"/>
    <w:rPr>
      <w:rFonts w:ascii="宋体" w:hAnsi="宋体" w:eastAsia="宋体"/>
      <w:b/>
      <w:color w:val="FF0000"/>
      <w:kern w:val="2"/>
      <w:sz w:val="32"/>
    </w:rPr>
  </w:style>
  <w:style w:type="paragraph" w:customStyle="1" w:styleId="35">
    <w:name w:val="标题 3.1"/>
    <w:basedOn w:val="4"/>
    <w:link w:val="34"/>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6">
    <w:name w:val="样式 楷体_GB2312 小四"/>
    <w:qFormat/>
    <w:uiPriority w:val="0"/>
    <w:rPr>
      <w:rFonts w:ascii="楷体_GB2312" w:hAnsi="楷体_GB2312" w:eastAsia="仿宋_GB2312"/>
      <w:sz w:val="24"/>
    </w:rPr>
  </w:style>
  <w:style w:type="character" w:customStyle="1" w:styleId="37">
    <w:name w:val="纯文本 Char"/>
    <w:qFormat/>
    <w:uiPriority w:val="0"/>
    <w:rPr>
      <w:rFonts w:ascii="宋体" w:hAnsi="Courier New" w:eastAsia="宋体" w:cs="Times New Roman"/>
      <w:b/>
      <w:kern w:val="2"/>
      <w:sz w:val="21"/>
      <w:szCs w:val="20"/>
    </w:rPr>
  </w:style>
  <w:style w:type="character" w:customStyle="1" w:styleId="38">
    <w:name w:val="纯文本 字符"/>
    <w:basedOn w:val="20"/>
    <w:link w:val="8"/>
    <w:semiHidden/>
    <w:qFormat/>
    <w:uiPriority w:val="99"/>
    <w:rPr>
      <w:rFonts w:ascii="宋体" w:hAnsi="Courier New" w:eastAsia="宋体" w:cs="Courier New"/>
      <w:sz w:val="21"/>
      <w:szCs w:val="21"/>
    </w:rPr>
  </w:style>
  <w:style w:type="character" w:customStyle="1" w:styleId="39">
    <w:name w:val="页眉 字符"/>
    <w:basedOn w:val="20"/>
    <w:link w:val="11"/>
    <w:qFormat/>
    <w:uiPriority w:val="99"/>
    <w:rPr>
      <w:rFonts w:ascii="Tahoma" w:hAnsi="Tahoma"/>
      <w:sz w:val="18"/>
      <w:szCs w:val="18"/>
    </w:rPr>
  </w:style>
  <w:style w:type="character" w:customStyle="1" w:styleId="40">
    <w:name w:val="页脚 字符"/>
    <w:basedOn w:val="20"/>
    <w:link w:val="10"/>
    <w:qFormat/>
    <w:uiPriority w:val="99"/>
    <w:rPr>
      <w:rFonts w:ascii="Tahoma" w:hAnsi="Tahoma"/>
      <w:sz w:val="18"/>
      <w:szCs w:val="18"/>
    </w:rPr>
  </w:style>
  <w:style w:type="character" w:customStyle="1" w:styleId="41">
    <w:name w:val="批注框文本 字符"/>
    <w:basedOn w:val="20"/>
    <w:link w:val="9"/>
    <w:semiHidden/>
    <w:qFormat/>
    <w:uiPriority w:val="99"/>
    <w:rPr>
      <w:rFonts w:ascii="Tahoma" w:hAnsi="Tahoma"/>
      <w:sz w:val="18"/>
      <w:szCs w:val="18"/>
    </w:rPr>
  </w:style>
  <w:style w:type="paragraph" w:customStyle="1" w:styleId="42">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3">
    <w:name w:val="普通(网站) 字符"/>
    <w:link w:val="16"/>
    <w:qFormat/>
    <w:uiPriority w:val="0"/>
    <w:rPr>
      <w:rFonts w:eastAsia="宋体"/>
      <w:kern w:val="2"/>
      <w:sz w:val="24"/>
      <w:szCs w:val="24"/>
    </w:rPr>
  </w:style>
  <w:style w:type="paragraph" w:customStyle="1" w:styleId="44">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5">
    <w:name w:val="p14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1FBAE-2CAE-44C6-AC91-4383CA6204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5400</Words>
  <Characters>30783</Characters>
  <Lines>256</Lines>
  <Paragraphs>72</Paragraphs>
  <TotalTime>0</TotalTime>
  <ScaleCrop>false</ScaleCrop>
  <LinksUpToDate>false</LinksUpToDate>
  <CharactersWithSpaces>36111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11</dc:creator>
  <cp:lastModifiedBy>王工</cp:lastModifiedBy>
  <cp:lastPrinted>2021-05-27T03:10:00Z</cp:lastPrinted>
  <dcterms:modified xsi:type="dcterms:W3CDTF">2021-05-31T03:52:11Z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01635BBE13174D808EA3285D2A4E4B53</vt:lpwstr>
  </property>
</Properties>
</file>